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02">
      <w:pPr>
        <w:jc w:val="both"/>
        <w:rPr>
          <w:rFonts w:ascii="Calibri" w:cs="Calibri" w:eastAsia="Calibri" w:hAnsi="Calibri"/>
          <w:sz w:val="20"/>
          <w:szCs w:val="2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50801</wp:posOffset>
                </wp:positionH>
                <wp:positionV relativeFrom="paragraph">
                  <wp:posOffset>38100</wp:posOffset>
                </wp:positionV>
                <wp:extent cx="6829425" cy="619125"/>
                <wp:effectExtent b="0" l="0" r="0" t="0"/>
                <wp:wrapSquare wrapText="bothSides" distB="0" distT="0" distL="114300" distR="114300"/>
                <wp:docPr id="1" name=""/>
                <a:graphic>
                  <a:graphicData uri="http://schemas.microsoft.com/office/word/2010/wordprocessingShape">
                    <wps:wsp>
                      <wps:cNvSpPr/>
                      <wps:cNvPr id="2" name="Shape 2"/>
                      <wps:spPr>
                        <a:xfrm>
                          <a:off x="1936050" y="3475200"/>
                          <a:ext cx="6819900" cy="609600"/>
                        </a:xfrm>
                        <a:prstGeom prst="rect">
                          <a:avLst/>
                        </a:prstGeom>
                        <a:solidFill>
                          <a:srgbClr val="A29C8D"/>
                        </a:solid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1"/>
                                <w:i w:val="0"/>
                                <w:smallCaps w:val="0"/>
                                <w:strike w:val="0"/>
                                <w:color w:val="ffffff"/>
                                <w:sz w:val="28"/>
                                <w:vertAlign w:val="baseline"/>
                              </w:rPr>
                              <w:t xml:space="preserve">CEA Surge (Risk communication and community engagement) Ebola preparedness operation RoC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ffffff"/>
                                <w:sz w:val="2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ffffff"/>
                                <w:sz w:val="2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50801</wp:posOffset>
                </wp:positionH>
                <wp:positionV relativeFrom="paragraph">
                  <wp:posOffset>38100</wp:posOffset>
                </wp:positionV>
                <wp:extent cx="6829425" cy="619125"/>
                <wp:effectExtent b="0" l="0" r="0" t="0"/>
                <wp:wrapSquare wrapText="bothSides" distB="0" distT="0" distL="114300" distR="114300"/>
                <wp:docPr id="1" name="image2.png"/>
                <a:graphic>
                  <a:graphicData uri="http://schemas.openxmlformats.org/drawingml/2006/picture">
                    <pic:pic>
                      <pic:nvPicPr>
                        <pic:cNvPr id="0" name="image2.png"/>
                        <pic:cNvPicPr preferRelativeResize="0"/>
                      </pic:nvPicPr>
                      <pic:blipFill>
                        <a:blip r:embed="rId6"/>
                        <a:srcRect/>
                        <a:stretch>
                          <a:fillRect/>
                        </a:stretch>
                      </pic:blipFill>
                      <pic:spPr>
                        <a:xfrm>
                          <a:off x="0" y="0"/>
                          <a:ext cx="6829425" cy="619125"/>
                        </a:xfrm>
                        <a:prstGeom prst="rect"/>
                        <a:ln/>
                      </pic:spPr>
                    </pic:pic>
                  </a:graphicData>
                </a:graphic>
              </wp:anchor>
            </w:drawing>
          </mc:Fallback>
        </mc:AlternateContent>
      </w:r>
    </w:p>
    <w:tbl>
      <w:tblPr>
        <w:tblStyle w:val="Table1"/>
        <w:tblW w:w="10291.0" w:type="dxa"/>
        <w:jc w:val="left"/>
        <w:tblInd w:w="108.0" w:type="dxa"/>
        <w:tblBorders>
          <w:top w:color="88796c" w:space="0" w:sz="4" w:val="single"/>
          <w:left w:color="88796c" w:space="0" w:sz="4" w:val="single"/>
          <w:bottom w:color="88796c" w:space="0" w:sz="4" w:val="single"/>
          <w:right w:color="88796c" w:space="0" w:sz="4" w:val="single"/>
          <w:insideH w:color="88796c" w:space="0" w:sz="4" w:val="single"/>
          <w:insideV w:color="88796c" w:space="0" w:sz="4" w:val="single"/>
        </w:tblBorders>
        <w:tblLayout w:type="fixed"/>
        <w:tblLook w:val="0000"/>
      </w:tblPr>
      <w:tblGrid>
        <w:gridCol w:w="3119"/>
        <w:gridCol w:w="7172"/>
        <w:tblGridChange w:id="0">
          <w:tblGrid>
            <w:gridCol w:w="3119"/>
            <w:gridCol w:w="7172"/>
          </w:tblGrid>
        </w:tblGridChange>
      </w:tblGrid>
      <w:tr>
        <w:trPr>
          <w:trHeight w:val="340" w:hRule="atLeast"/>
        </w:trPr>
        <w:tc>
          <w:tcPr>
            <w:shd w:fill="auto" w:val="clear"/>
            <w:vAlign w:val="center"/>
          </w:tcPr>
          <w:p w:rsidR="00000000" w:rsidDel="00000000" w:rsidP="00000000" w:rsidRDefault="00000000" w:rsidRPr="00000000" w14:paraId="00000003">
            <w:pPr>
              <w:spacing w:after="40" w:lineRule="auto"/>
              <w:jc w:val="both"/>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Job Title</w:t>
            </w:r>
          </w:p>
        </w:tc>
        <w:tc>
          <w:tcPr>
            <w:shd w:fill="auto" w:val="clear"/>
            <w:vAlign w:val="center"/>
          </w:tcPr>
          <w:p w:rsidR="00000000" w:rsidDel="00000000" w:rsidP="00000000" w:rsidRDefault="00000000" w:rsidRPr="00000000" w14:paraId="00000004">
            <w:pPr>
              <w:spacing w:after="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Community Engagement and Accountability Surge for Ebola preparedness operation Congo Republic (Risk communication and community engagement RCCE)</w:t>
            </w:r>
          </w:p>
        </w:tc>
      </w:tr>
      <w:tr>
        <w:trPr>
          <w:trHeight w:val="340" w:hRule="atLeast"/>
        </w:trPr>
        <w:tc>
          <w:tcPr>
            <w:shd w:fill="auto" w:val="clear"/>
            <w:vAlign w:val="center"/>
          </w:tcPr>
          <w:p w:rsidR="00000000" w:rsidDel="00000000" w:rsidP="00000000" w:rsidRDefault="00000000" w:rsidRPr="00000000" w14:paraId="00000005">
            <w:pPr>
              <w:spacing w:after="40" w:lineRule="auto"/>
              <w:jc w:val="both"/>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Classification Level</w:t>
            </w:r>
          </w:p>
        </w:tc>
        <w:tc>
          <w:tcPr>
            <w:shd w:fill="auto" w:val="clear"/>
            <w:vAlign w:val="center"/>
          </w:tcPr>
          <w:p w:rsidR="00000000" w:rsidDel="00000000" w:rsidP="00000000" w:rsidRDefault="00000000" w:rsidRPr="00000000" w14:paraId="00000006">
            <w:pPr>
              <w:spacing w:after="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Surge deployment (end of mission – 30 December 2020)</w:t>
            </w:r>
          </w:p>
        </w:tc>
      </w:tr>
      <w:tr>
        <w:trPr>
          <w:trHeight w:val="340" w:hRule="atLeast"/>
        </w:trPr>
        <w:tc>
          <w:tcPr>
            <w:shd w:fill="auto" w:val="clear"/>
            <w:vAlign w:val="center"/>
          </w:tcPr>
          <w:p w:rsidR="00000000" w:rsidDel="00000000" w:rsidP="00000000" w:rsidRDefault="00000000" w:rsidRPr="00000000" w14:paraId="00000007">
            <w:pPr>
              <w:spacing w:after="40" w:lineRule="auto"/>
              <w:jc w:val="both"/>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Immediate Supervisor’s Title</w:t>
            </w:r>
          </w:p>
        </w:tc>
        <w:tc>
          <w:tcPr>
            <w:shd w:fill="auto" w:val="clear"/>
            <w:vAlign w:val="center"/>
          </w:tcPr>
          <w:p w:rsidR="00000000" w:rsidDel="00000000" w:rsidP="00000000" w:rsidRDefault="00000000" w:rsidRPr="00000000" w14:paraId="00000008">
            <w:pPr>
              <w:spacing w:after="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Operations Manager &amp; CEA Senior Officer Central Africa CCST </w:t>
            </w:r>
          </w:p>
        </w:tc>
      </w:tr>
      <w:tr>
        <w:trPr>
          <w:trHeight w:val="340" w:hRule="atLeast"/>
        </w:trPr>
        <w:tc>
          <w:tcPr>
            <w:shd w:fill="auto" w:val="clear"/>
            <w:vAlign w:val="center"/>
          </w:tcPr>
          <w:p w:rsidR="00000000" w:rsidDel="00000000" w:rsidP="00000000" w:rsidRDefault="00000000" w:rsidRPr="00000000" w14:paraId="00000009">
            <w:pPr>
              <w:spacing w:after="40" w:lineRule="auto"/>
              <w:jc w:val="both"/>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Number of Direct Reports </w:t>
            </w:r>
          </w:p>
          <w:p w:rsidR="00000000" w:rsidDel="00000000" w:rsidP="00000000" w:rsidRDefault="00000000" w:rsidRPr="00000000" w14:paraId="0000000A">
            <w:pPr>
              <w:spacing w:after="40" w:lineRule="auto"/>
              <w:jc w:val="both"/>
              <w:rPr>
                <w:rFonts w:ascii="Calibri" w:cs="Calibri" w:eastAsia="Calibri" w:hAnsi="Calibri"/>
                <w:b w:val="1"/>
                <w:color w:val="88796c"/>
                <w:sz w:val="20"/>
                <w:szCs w:val="20"/>
              </w:rPr>
            </w:pPr>
            <w:r w:rsidDel="00000000" w:rsidR="00000000" w:rsidRPr="00000000">
              <w:rPr>
                <w:rFonts w:ascii="Calibri" w:cs="Calibri" w:eastAsia="Calibri" w:hAnsi="Calibri"/>
                <w:b w:val="1"/>
                <w:i w:val="1"/>
                <w:color w:val="88796c"/>
                <w:sz w:val="20"/>
                <w:szCs w:val="20"/>
                <w:rtl w:val="0"/>
              </w:rPr>
              <w:t xml:space="preserve">(if applicable)</w:t>
            </w:r>
            <w:r w:rsidDel="00000000" w:rsidR="00000000" w:rsidRPr="00000000">
              <w:rPr>
                <w:rtl w:val="0"/>
              </w:rPr>
            </w:r>
          </w:p>
        </w:tc>
        <w:tc>
          <w:tcPr>
            <w:shd w:fill="auto" w:val="clear"/>
            <w:vAlign w:val="center"/>
          </w:tcPr>
          <w:p w:rsidR="00000000" w:rsidDel="00000000" w:rsidP="00000000" w:rsidRDefault="00000000" w:rsidRPr="00000000" w14:paraId="0000000B">
            <w:pPr>
              <w:spacing w:after="40" w:lineRule="auto"/>
              <w:jc w:val="both"/>
              <w:rPr>
                <w:rFonts w:ascii="Calibri" w:cs="Calibri" w:eastAsia="Calibri" w:hAnsi="Calibri"/>
                <w:sz w:val="20"/>
                <w:szCs w:val="20"/>
              </w:rPr>
            </w:pPr>
            <w:r w:rsidDel="00000000" w:rsidR="00000000" w:rsidRPr="00000000">
              <w:rPr>
                <w:rtl w:val="0"/>
              </w:rPr>
            </w:r>
          </w:p>
        </w:tc>
      </w:tr>
      <w:tr>
        <w:trPr>
          <w:trHeight w:val="340" w:hRule="atLeast"/>
        </w:trPr>
        <w:tc>
          <w:tcPr>
            <w:shd w:fill="auto" w:val="clear"/>
            <w:vAlign w:val="center"/>
          </w:tcPr>
          <w:p w:rsidR="00000000" w:rsidDel="00000000" w:rsidP="00000000" w:rsidRDefault="00000000" w:rsidRPr="00000000" w14:paraId="0000000C">
            <w:pPr>
              <w:spacing w:after="40" w:lineRule="auto"/>
              <w:jc w:val="both"/>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Number of Indirect Reports </w:t>
            </w:r>
          </w:p>
          <w:p w:rsidR="00000000" w:rsidDel="00000000" w:rsidP="00000000" w:rsidRDefault="00000000" w:rsidRPr="00000000" w14:paraId="0000000D">
            <w:pPr>
              <w:spacing w:after="40" w:lineRule="auto"/>
              <w:jc w:val="both"/>
              <w:rPr>
                <w:rFonts w:ascii="Calibri" w:cs="Calibri" w:eastAsia="Calibri" w:hAnsi="Calibri"/>
                <w:b w:val="1"/>
                <w:color w:val="88796c"/>
                <w:sz w:val="20"/>
                <w:szCs w:val="20"/>
              </w:rPr>
            </w:pPr>
            <w:r w:rsidDel="00000000" w:rsidR="00000000" w:rsidRPr="00000000">
              <w:rPr>
                <w:rFonts w:ascii="Calibri" w:cs="Calibri" w:eastAsia="Calibri" w:hAnsi="Calibri"/>
                <w:b w:val="1"/>
                <w:i w:val="1"/>
                <w:color w:val="88796c"/>
                <w:sz w:val="20"/>
                <w:szCs w:val="20"/>
                <w:rtl w:val="0"/>
              </w:rPr>
              <w:t xml:space="preserve">(if applicable)</w:t>
            </w:r>
            <w:r w:rsidDel="00000000" w:rsidR="00000000" w:rsidRPr="00000000">
              <w:rPr>
                <w:rtl w:val="0"/>
              </w:rPr>
            </w:r>
          </w:p>
        </w:tc>
        <w:tc>
          <w:tcPr>
            <w:shd w:fill="auto" w:val="clear"/>
            <w:vAlign w:val="center"/>
          </w:tcPr>
          <w:p w:rsidR="00000000" w:rsidDel="00000000" w:rsidP="00000000" w:rsidRDefault="00000000" w:rsidRPr="00000000" w14:paraId="0000000E">
            <w:pPr>
              <w:spacing w:after="40" w:lineRule="auto"/>
              <w:ind w:left="360" w:firstLine="0"/>
              <w:jc w:val="both"/>
              <w:rPr>
                <w:rFonts w:ascii="Calibri" w:cs="Calibri" w:eastAsia="Calibri" w:hAnsi="Calibri"/>
                <w:sz w:val="20"/>
                <w:szCs w:val="20"/>
              </w:rPr>
            </w:pPr>
            <w:r w:rsidDel="00000000" w:rsidR="00000000" w:rsidRPr="00000000">
              <w:rPr>
                <w:rtl w:val="0"/>
              </w:rPr>
            </w:r>
          </w:p>
        </w:tc>
      </w:tr>
    </w:tbl>
    <w:p w:rsidR="00000000" w:rsidDel="00000000" w:rsidP="00000000" w:rsidRDefault="00000000" w:rsidRPr="00000000" w14:paraId="0000000F">
      <w:pPr>
        <w:tabs>
          <w:tab w:val="left" w:pos="-720"/>
        </w:tabs>
        <w:spacing w:before="6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0">
      <w:pPr>
        <w:jc w:val="both"/>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Organizational context (where the job is located in the Organization)</w:t>
      </w:r>
    </w:p>
    <w:tbl>
      <w:tblPr>
        <w:tblStyle w:val="Table2"/>
        <w:tblW w:w="10291.0" w:type="dxa"/>
        <w:jc w:val="left"/>
        <w:tblInd w:w="108.0" w:type="dxa"/>
        <w:tblBorders>
          <w:top w:color="88796c" w:space="0" w:sz="4" w:val="single"/>
          <w:left w:color="88796c" w:space="0" w:sz="4" w:val="single"/>
          <w:bottom w:color="88796c" w:space="0" w:sz="4" w:val="single"/>
          <w:right w:color="88796c" w:space="0" w:sz="4" w:val="single"/>
          <w:insideH w:color="88796c" w:space="0" w:sz="4" w:val="single"/>
          <w:insideV w:color="88796c" w:space="0" w:sz="4" w:val="single"/>
        </w:tblBorders>
        <w:tblLayout w:type="fixed"/>
        <w:tblLook w:val="0000"/>
      </w:tblPr>
      <w:tblGrid>
        <w:gridCol w:w="10291"/>
        <w:tblGridChange w:id="0">
          <w:tblGrid>
            <w:gridCol w:w="10291"/>
          </w:tblGrid>
        </w:tblGridChange>
      </w:tblGrid>
      <w:tr>
        <w:trPr>
          <w:trHeight w:val="780" w:hRule="atLeast"/>
        </w:trPr>
        <w:tc>
          <w:tcPr>
            <w:shd w:fill="auto" w:val="clear"/>
          </w:tcPr>
          <w:p w:rsidR="00000000" w:rsidDel="00000000" w:rsidP="00000000" w:rsidRDefault="00000000" w:rsidRPr="00000000" w14:paraId="00000011">
            <w:pPr>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International Federation of Red Cross and Red Crescent Societies (IFRC) is the world’s largest volunteer-based humanitarian network. IFRC is a membership organisation established by and comprised of its member National Red Cross and Red Crescent Societies. Along with National Societies and the International Committee of the Red Cross (ICRC), the IFRC is part of the International Red Cross and Red Crescent Movement. IFRC’s headquarters is in Geneva, with regional and country offices throughout the world. </w:t>
            </w:r>
          </w:p>
          <w:p w:rsidR="00000000" w:rsidDel="00000000" w:rsidP="00000000" w:rsidRDefault="00000000" w:rsidRPr="00000000" w14:paraId="00000012">
            <w:pP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3">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Due to the nature of emergency response operations, this role profile is an outline of the likely responsibilities applicable to CEA Surge, deployed in a Federation co-ordinated operation. They are complementary to and should be read in conjunction with the specific tasks elaborated in the Deployment Order / Terms of Reference.</w:t>
            </w:r>
          </w:p>
          <w:p w:rsidR="00000000" w:rsidDel="00000000" w:rsidP="00000000" w:rsidRDefault="00000000" w:rsidRPr="00000000" w14:paraId="00000014">
            <w:pPr>
              <w:jc w:val="both"/>
              <w:rPr>
                <w:rFonts w:ascii="Calibri" w:cs="Calibri" w:eastAsia="Calibri" w:hAnsi="Calibri"/>
                <w:color w:val="0000ff"/>
                <w:sz w:val="20"/>
                <w:szCs w:val="20"/>
              </w:rPr>
            </w:pPr>
            <w:r w:rsidDel="00000000" w:rsidR="00000000" w:rsidRPr="00000000">
              <w:rPr>
                <w:rFonts w:ascii="Calibri" w:cs="Calibri" w:eastAsia="Calibri" w:hAnsi="Calibri"/>
                <w:sz w:val="20"/>
                <w:szCs w:val="20"/>
                <w:rtl w:val="0"/>
              </w:rPr>
              <w:t xml:space="preserve"> </w:t>
            </w:r>
            <w:r w:rsidDel="00000000" w:rsidR="00000000" w:rsidRPr="00000000">
              <w:rPr>
                <w:rtl w:val="0"/>
              </w:rPr>
            </w:r>
          </w:p>
        </w:tc>
      </w:tr>
    </w:tbl>
    <w:p w:rsidR="00000000" w:rsidDel="00000000" w:rsidP="00000000" w:rsidRDefault="00000000" w:rsidRPr="00000000" w14:paraId="00000015">
      <w:pPr>
        <w:tabs>
          <w:tab w:val="left" w:pos="-720"/>
        </w:tabs>
        <w:spacing w:before="60" w:lineRule="auto"/>
        <w:rPr>
          <w:rFonts w:ascii="Calibri" w:cs="Calibri" w:eastAsia="Calibri" w:hAnsi="Calibri"/>
        </w:rPr>
      </w:pPr>
      <w:r w:rsidDel="00000000" w:rsidR="00000000" w:rsidRPr="00000000">
        <w:rPr>
          <w:rtl w:val="0"/>
        </w:rPr>
      </w:r>
    </w:p>
    <w:p w:rsidR="00000000" w:rsidDel="00000000" w:rsidP="00000000" w:rsidRDefault="00000000" w:rsidRPr="00000000" w14:paraId="00000016">
      <w:pPr>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Job purpose </w:t>
      </w:r>
    </w:p>
    <w:tbl>
      <w:tblPr>
        <w:tblStyle w:val="Table3"/>
        <w:tblW w:w="10291.0" w:type="dxa"/>
        <w:jc w:val="left"/>
        <w:tblInd w:w="108.0" w:type="dxa"/>
        <w:tblBorders>
          <w:top w:color="88796c" w:space="0" w:sz="4" w:val="single"/>
          <w:left w:color="88796c" w:space="0" w:sz="4" w:val="single"/>
          <w:bottom w:color="88796c" w:space="0" w:sz="4" w:val="single"/>
          <w:right w:color="88796c" w:space="0" w:sz="4" w:val="single"/>
          <w:insideH w:color="88796c" w:space="0" w:sz="4" w:val="single"/>
          <w:insideV w:color="88796c" w:space="0" w:sz="4" w:val="single"/>
        </w:tblBorders>
        <w:tblLayout w:type="fixed"/>
        <w:tblLook w:val="0000"/>
      </w:tblPr>
      <w:tblGrid>
        <w:gridCol w:w="10291"/>
        <w:tblGridChange w:id="0">
          <w:tblGrid>
            <w:gridCol w:w="10291"/>
          </w:tblGrid>
        </w:tblGridChange>
      </w:tblGrid>
      <w:tr>
        <w:trPr>
          <w:trHeight w:val="1040" w:hRule="atLeast"/>
        </w:trPr>
        <w:tc>
          <w:tcPr>
            <w:shd w:fill="auto" w:val="clear"/>
          </w:tcPr>
          <w:p w:rsidR="00000000" w:rsidDel="00000000" w:rsidP="00000000" w:rsidRDefault="00000000" w:rsidRPr="00000000" w14:paraId="00000017">
            <w:pPr>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Community engagement and accountability is at the core of Red Cross and Red Crescent programming and operations. It is an approach geared towards putting people and communities, vulnerable to and affected by crisis, at the centre of what we do. It encompasses a set of activities that embed and integrate participation, communication, feedback and learning throughout the programme cycle, in service delivery and in strategy development.  The goal is to enable people and communities to lead and shape positive, sustainable change in their own lives, communities and society.</w:t>
            </w:r>
          </w:p>
          <w:p w:rsidR="00000000" w:rsidDel="00000000" w:rsidP="00000000" w:rsidRDefault="00000000" w:rsidRPr="00000000" w14:paraId="00000018">
            <w:pPr>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9">
            <w:pPr>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Community Engagement and Accountability (CEA) Surge will support the Congo National Society and IFRC operations teams to enhance the impact, reach and efficiency of emergency response operations through the integration and coordination of CEA activities and approaches. This includes participatory approaches, feedback systems, risk communication  evidence-based advocacy.   </w:t>
            </w:r>
          </w:p>
          <w:p w:rsidR="00000000" w:rsidDel="00000000" w:rsidP="00000000" w:rsidRDefault="00000000" w:rsidRPr="00000000" w14:paraId="0000001A">
            <w:pPr>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B">
            <w:pPr>
              <w:widowControl w:val="0"/>
              <w:spacing w:after="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At the early stages of the declaration of the new EVD outbreak in DRC, the RoC was alerted and assessed as being at high risk of importation.  Preventive actions to reduce the likelihood of a possible epidemic in the country are ongoing  including the launch of a Coordinating Committee for Ebola Preparedness and Response. RoC MOH, WHO and UNICEF have begun activities related to emergency assessment, epidemiological surveillance, case detection and management, and risk communication and community engagement. </w:t>
            </w:r>
          </w:p>
          <w:p w:rsidR="00000000" w:rsidDel="00000000" w:rsidP="00000000" w:rsidRDefault="00000000" w:rsidRPr="00000000" w14:paraId="0000001C">
            <w:pPr>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overall objective of the DREF operation launched by the IFRC   is to support  preparedness actions of the Congolese Red Cross  by providing training to 122 volunteers and supervisors to conduct community awareness in order  to prevent the spread of EVD and respond in the event of an outbreak in the country.   </w:t>
            </w:r>
          </w:p>
          <w:p w:rsidR="00000000" w:rsidDel="00000000" w:rsidP="00000000" w:rsidRDefault="00000000" w:rsidRPr="00000000" w14:paraId="0000001D">
            <w:pPr>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E">
            <w:pPr>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Thus  the focus of the CEA Surge will be to ensure Red Cross volunteers are trained on the CEA approach  and its tools  to better support the implementation of RCCE activities  within the operation ; support  effective use of CEA approaches to foster community participation  and feedback in all phases of the operation through mainstreaming different CEA techniques and activities across sectors. Contribute through  behaviour change and social practices communication , to improving  people’s  knowledge  and understating of  the disease  and encouraging  the adoption of safe preventive health practices around the disease.  </w:t>
            </w:r>
          </w:p>
          <w:p w:rsidR="00000000" w:rsidDel="00000000" w:rsidP="00000000" w:rsidRDefault="00000000" w:rsidRPr="00000000" w14:paraId="0000001F">
            <w:pPr>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0">
            <w:pPr>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The CEA Surge will have a specific focus on supporting the setting up of a simple community feedback systems, ensuring communities are being heard and their views taken into account to improve on the preparedness operation.  The role will also be expected to work closely with Operations Manager ensure all information and feedback from communities is effectively visualised, profiled within the operation, and used to inform strategic decision-making.   </w:t>
            </w:r>
          </w:p>
          <w:p w:rsidR="00000000" w:rsidDel="00000000" w:rsidP="00000000" w:rsidRDefault="00000000" w:rsidRPr="00000000" w14:paraId="00000021">
            <w:pPr>
              <w:jc w:val="both"/>
              <w:rPr>
                <w:rFonts w:ascii="Calibri" w:cs="Calibri" w:eastAsia="Calibri" w:hAnsi="Calibri"/>
                <w:sz w:val="20"/>
                <w:szCs w:val="20"/>
              </w:rPr>
            </w:pPr>
            <w:r w:rsidDel="00000000" w:rsidR="00000000" w:rsidRPr="00000000">
              <w:rPr>
                <w:rtl w:val="0"/>
              </w:rPr>
            </w:r>
          </w:p>
        </w:tc>
      </w:tr>
    </w:tbl>
    <w:p w:rsidR="00000000" w:rsidDel="00000000" w:rsidP="00000000" w:rsidRDefault="00000000" w:rsidRPr="00000000" w14:paraId="00000022">
      <w:pPr>
        <w:tabs>
          <w:tab w:val="left" w:pos="-720"/>
        </w:tabs>
        <w:spacing w:before="6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3">
      <w:pPr>
        <w:keepNext w:val="1"/>
        <w:pBdr>
          <w:top w:space="0" w:sz="0" w:val="nil"/>
          <w:left w:space="0" w:sz="0" w:val="nil"/>
          <w:bottom w:space="0" w:sz="0" w:val="nil"/>
          <w:right w:space="0" w:sz="0" w:val="nil"/>
          <w:between w:space="0" w:sz="0" w:val="nil"/>
        </w:pBdr>
        <w:spacing w:after="80" w:before="80" w:lineRule="auto"/>
        <w:jc w:val="center"/>
        <w:rPr>
          <w:rFonts w:ascii="Calibri" w:cs="Calibri" w:eastAsia="Calibri" w:hAnsi="Calibri"/>
          <w:b w:val="1"/>
          <w:color w:val="88796c"/>
          <w:sz w:val="28"/>
          <w:szCs w:val="28"/>
        </w:rPr>
      </w:pPr>
      <w:r w:rsidDel="00000000" w:rsidR="00000000" w:rsidRPr="00000000">
        <w:rPr>
          <w:rFonts w:ascii="Calibri" w:cs="Calibri" w:eastAsia="Calibri" w:hAnsi="Calibri"/>
          <w:b w:val="1"/>
          <w:color w:val="88796c"/>
          <w:sz w:val="28"/>
          <w:szCs w:val="28"/>
          <w:rtl w:val="0"/>
        </w:rPr>
        <w:t xml:space="preserve">Role (Job Requirements)</w:t>
      </w:r>
    </w:p>
    <w:p w:rsidR="00000000" w:rsidDel="00000000" w:rsidP="00000000" w:rsidRDefault="00000000" w:rsidRPr="00000000" w14:paraId="00000024">
      <w:pPr>
        <w:tabs>
          <w:tab w:val="left" w:pos="-720"/>
        </w:tabs>
        <w:spacing w:before="6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5">
      <w:pPr>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Job duties and responsibilities</w:t>
      </w:r>
    </w:p>
    <w:tbl>
      <w:tblPr>
        <w:tblStyle w:val="Table4"/>
        <w:tblW w:w="10291.0" w:type="dxa"/>
        <w:jc w:val="left"/>
        <w:tblInd w:w="108.0" w:type="dxa"/>
        <w:tblBorders>
          <w:top w:color="88796c" w:space="0" w:sz="4" w:val="single"/>
          <w:left w:color="88796c" w:space="0" w:sz="4" w:val="single"/>
          <w:bottom w:color="88796c" w:space="0" w:sz="4" w:val="single"/>
          <w:right w:color="88796c" w:space="0" w:sz="4" w:val="single"/>
          <w:insideH w:color="88796c" w:space="0" w:sz="4" w:val="single"/>
          <w:insideV w:color="88796c" w:space="0" w:sz="4" w:val="single"/>
        </w:tblBorders>
        <w:tblLayout w:type="fixed"/>
        <w:tblLook w:val="0000"/>
      </w:tblPr>
      <w:tblGrid>
        <w:gridCol w:w="10291"/>
        <w:tblGridChange w:id="0">
          <w:tblGrid>
            <w:gridCol w:w="10291"/>
          </w:tblGrid>
        </w:tblGridChange>
      </w:tblGrid>
      <w:tr>
        <w:trPr>
          <w:trHeight w:val="1040" w:hRule="atLeast"/>
        </w:trPr>
        <w:tc>
          <w:tcPr>
            <w:shd w:fill="auto" w:val="clear"/>
          </w:tcPr>
          <w:p w:rsidR="00000000" w:rsidDel="00000000" w:rsidP="00000000" w:rsidRDefault="00000000" w:rsidRPr="00000000" w14:paraId="00000026">
            <w:pPr>
              <w:numPr>
                <w:ilvl w:val="0"/>
                <w:numId w:val="1"/>
              </w:numPr>
              <w:spacing w:after="120" w:lineRule="auto"/>
              <w:ind w:left="3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Ensure that the operation is implemented in accordance with the </w:t>
            </w:r>
            <w:r w:rsidDel="00000000" w:rsidR="00000000" w:rsidRPr="00000000">
              <w:rPr>
                <w:rFonts w:ascii="Calibri" w:cs="Calibri" w:eastAsia="Calibri" w:hAnsi="Calibri"/>
                <w:b w:val="1"/>
                <w:sz w:val="20"/>
                <w:szCs w:val="20"/>
                <w:rtl w:val="0"/>
              </w:rPr>
              <w:t xml:space="preserve">Movement set of standards, policies and guidelines</w:t>
            </w:r>
            <w:r w:rsidDel="00000000" w:rsidR="00000000" w:rsidRPr="00000000">
              <w:rPr>
                <w:rFonts w:ascii="Calibri" w:cs="Calibri" w:eastAsia="Calibri" w:hAnsi="Calibri"/>
                <w:sz w:val="20"/>
                <w:szCs w:val="20"/>
                <w:rtl w:val="0"/>
              </w:rPr>
              <w:t xml:space="preserve"> relevant to CEA.</w:t>
            </w:r>
          </w:p>
          <w:p w:rsidR="00000000" w:rsidDel="00000000" w:rsidP="00000000" w:rsidRDefault="00000000" w:rsidRPr="00000000" w14:paraId="00000027">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Supports the planning, rolling out and adaptation of </w:t>
            </w: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risk communications and CEA tools, methodologies, trainings and activities </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based on the needs assessment and suitable to the local context and cultural practices.</w:t>
            </w:r>
          </w:p>
          <w:p w:rsidR="00000000" w:rsidDel="00000000" w:rsidP="00000000" w:rsidRDefault="00000000" w:rsidRPr="00000000" w14:paraId="00000028">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Ensures quality, consistency and relevancy of community engagement activities and materials in relation to target audiences with focus on the most vulnerable.</w:t>
            </w:r>
          </w:p>
          <w:p w:rsidR="00000000" w:rsidDel="00000000" w:rsidP="00000000" w:rsidRDefault="00000000" w:rsidRPr="00000000" w14:paraId="0000002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Supports and ensures use across operations teams of the most relevant </w:t>
            </w: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social sciences research, impact surveys and perception data </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(including social-cultural data,  sources of vulnerabilities, community structures and power dynamics) to assess and monitor communities’ knowledge, attitudes and practices in relation to targeted behaviours and inform evidence-based risk communication and community engagement action.</w:t>
            </w:r>
          </w:p>
          <w:p w:rsidR="00000000" w:rsidDel="00000000" w:rsidP="00000000" w:rsidRDefault="00000000" w:rsidRPr="00000000" w14:paraId="0000002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C">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Supports the setting up/strengthening of appropriate </w:t>
            </w: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feedback methods</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and systems to gain a deeper understanding of the community feedback, including perceptions, beliefs, rumours and complains</w:t>
            </w:r>
          </w:p>
          <w:p w:rsidR="00000000" w:rsidDel="00000000" w:rsidP="00000000" w:rsidRDefault="00000000" w:rsidRPr="00000000" w14:paraId="0000002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E">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Ensures feedback, community perceptions and insights </w:t>
            </w: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are regularly analysed and shared</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with key operation teams and decision makers to inform course correction in the operation and bring about positive changes in communities.</w:t>
            </w:r>
          </w:p>
          <w:p w:rsidR="00000000" w:rsidDel="00000000" w:rsidP="00000000" w:rsidRDefault="00000000" w:rsidRPr="00000000" w14:paraId="0000002F">
            <w:pP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0">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Work with operation teams to ensure the </w:t>
            </w: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most vulnerable groups</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have equal access to information channels and feedback mechanisms and participate in decision making processes</w:t>
            </w:r>
          </w:p>
          <w:p w:rsidR="00000000" w:rsidDel="00000000" w:rsidP="00000000" w:rsidRDefault="00000000" w:rsidRPr="00000000" w14:paraId="0000003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2">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120" w:before="0" w:line="240" w:lineRule="auto"/>
              <w:ind w:left="360" w:right="0" w:hanging="36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Designs and facilitates the training of staff and volunteers on essential CEA aspects, with focus on risk communications and community engagement in epidemic preparedness and response and feedback systems.</w:t>
            </w:r>
          </w:p>
          <w:p w:rsidR="00000000" w:rsidDel="00000000" w:rsidP="00000000" w:rsidRDefault="00000000" w:rsidRPr="00000000" w14:paraId="00000033">
            <w:pPr>
              <w:numPr>
                <w:ilvl w:val="0"/>
                <w:numId w:val="1"/>
              </w:numPr>
              <w:spacing w:after="120" w:lineRule="auto"/>
              <w:ind w:left="3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Guides teams to create opportunities for </w:t>
            </w:r>
            <w:r w:rsidDel="00000000" w:rsidR="00000000" w:rsidRPr="00000000">
              <w:rPr>
                <w:rFonts w:ascii="Calibri" w:cs="Calibri" w:eastAsia="Calibri" w:hAnsi="Calibri"/>
                <w:b w:val="1"/>
                <w:sz w:val="20"/>
                <w:szCs w:val="20"/>
                <w:rtl w:val="0"/>
              </w:rPr>
              <w:t xml:space="preserve">communities voices to influence </w:t>
            </w:r>
            <w:r w:rsidDel="00000000" w:rsidR="00000000" w:rsidRPr="00000000">
              <w:rPr>
                <w:rFonts w:ascii="Calibri" w:cs="Calibri" w:eastAsia="Calibri" w:hAnsi="Calibri"/>
                <w:sz w:val="20"/>
                <w:szCs w:val="20"/>
                <w:rtl w:val="0"/>
              </w:rPr>
              <w:t xml:space="preserve">local and at the national level decision making processes. </w:t>
            </w:r>
          </w:p>
          <w:p w:rsidR="00000000" w:rsidDel="00000000" w:rsidP="00000000" w:rsidRDefault="00000000" w:rsidRPr="00000000" w14:paraId="00000034">
            <w:pPr>
              <w:numPr>
                <w:ilvl w:val="0"/>
                <w:numId w:val="1"/>
              </w:numPr>
              <w:spacing w:after="120" w:lineRule="auto"/>
              <w:ind w:left="360" w:hanging="36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Raises awareness on the importance </w:t>
            </w:r>
            <w:r w:rsidDel="00000000" w:rsidR="00000000" w:rsidRPr="00000000">
              <w:rPr>
                <w:rFonts w:ascii="Calibri" w:cs="Calibri" w:eastAsia="Calibri" w:hAnsi="Calibri"/>
                <w:sz w:val="20"/>
                <w:szCs w:val="20"/>
                <w:rtl w:val="0"/>
              </w:rPr>
              <w:t xml:space="preserve">of risk communications and CEA with senior  management,  staff  and  volunteers  through  presentations,  trainings and  briefing  sessions.</w:t>
            </w:r>
          </w:p>
          <w:p w:rsidR="00000000" w:rsidDel="00000000" w:rsidP="00000000" w:rsidRDefault="00000000" w:rsidRPr="00000000" w14:paraId="00000035">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b w:val="1"/>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Participates in relevant inter-agency coordination groups </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and supports National Society’s engagement to ensure Red Cross Red Crescent community engagement efforts are coordinated and recognized.</w:t>
            </w:r>
            <w:r w:rsidDel="00000000" w:rsidR="00000000" w:rsidRPr="00000000">
              <w:rPr>
                <w:rtl w:val="0"/>
              </w:rPr>
            </w:r>
          </w:p>
        </w:tc>
      </w:tr>
    </w:tbl>
    <w:p w:rsidR="00000000" w:rsidDel="00000000" w:rsidP="00000000" w:rsidRDefault="00000000" w:rsidRPr="00000000" w14:paraId="00000036">
      <w:pPr>
        <w:tabs>
          <w:tab w:val="left" w:pos="-720"/>
        </w:tabs>
        <w:spacing w:before="6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7">
      <w:pPr>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Duties applicable to all staff</w:t>
      </w:r>
    </w:p>
    <w:tbl>
      <w:tblPr>
        <w:tblStyle w:val="Table5"/>
        <w:tblW w:w="10291.0" w:type="dxa"/>
        <w:jc w:val="left"/>
        <w:tblInd w:w="108.0" w:type="dxa"/>
        <w:tblBorders>
          <w:top w:color="88796c" w:space="0" w:sz="4" w:val="single"/>
          <w:left w:color="88796c" w:space="0" w:sz="4" w:val="single"/>
          <w:bottom w:color="88796c" w:space="0" w:sz="4" w:val="single"/>
          <w:right w:color="88796c" w:space="0" w:sz="4" w:val="single"/>
          <w:insideH w:color="88796c" w:space="0" w:sz="4" w:val="single"/>
          <w:insideV w:color="88796c" w:space="0" w:sz="4" w:val="single"/>
        </w:tblBorders>
        <w:tblLayout w:type="fixed"/>
        <w:tblLook w:val="0000"/>
      </w:tblPr>
      <w:tblGrid>
        <w:gridCol w:w="566"/>
        <w:gridCol w:w="9725"/>
        <w:tblGridChange w:id="0">
          <w:tblGrid>
            <w:gridCol w:w="566"/>
            <w:gridCol w:w="9725"/>
          </w:tblGrid>
        </w:tblGridChange>
      </w:tblGrid>
      <w:tr>
        <w:trPr>
          <w:trHeight w:val="340" w:hRule="atLeast"/>
        </w:trPr>
        <w:tc>
          <w:tcPr>
            <w:shd w:fill="auto" w:val="clear"/>
            <w:vAlign w:val="center"/>
          </w:tcPr>
          <w:p w:rsidR="00000000" w:rsidDel="00000000" w:rsidP="00000000" w:rsidRDefault="00000000" w:rsidRPr="00000000" w14:paraId="00000038">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w:t>
            </w:r>
          </w:p>
        </w:tc>
        <w:tc>
          <w:tcPr>
            <w:shd w:fill="auto" w:val="clear"/>
            <w:vAlign w:val="center"/>
          </w:tcPr>
          <w:p w:rsidR="00000000" w:rsidDel="00000000" w:rsidP="00000000" w:rsidRDefault="00000000" w:rsidRPr="00000000" w14:paraId="00000039">
            <w:pPr>
              <w:pBdr>
                <w:top w:space="0" w:sz="0" w:val="nil"/>
                <w:left w:space="0" w:sz="0" w:val="nil"/>
                <w:bottom w:space="0" w:sz="0" w:val="nil"/>
                <w:right w:space="0" w:sz="0" w:val="nil"/>
                <w:between w:space="0" w:sz="0" w:val="nil"/>
              </w:pBd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Actively work towards the achievement of the Federation Secretariat’s goals </w:t>
            </w:r>
          </w:p>
        </w:tc>
      </w:tr>
      <w:tr>
        <w:trPr>
          <w:trHeight w:val="340" w:hRule="atLeast"/>
        </w:trPr>
        <w:tc>
          <w:tcPr>
            <w:shd w:fill="auto" w:val="clear"/>
            <w:vAlign w:val="center"/>
          </w:tcPr>
          <w:p w:rsidR="00000000" w:rsidDel="00000000" w:rsidP="00000000" w:rsidRDefault="00000000" w:rsidRPr="00000000" w14:paraId="0000003A">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2.</w:t>
            </w:r>
          </w:p>
        </w:tc>
        <w:tc>
          <w:tcPr>
            <w:shd w:fill="auto" w:val="clear"/>
            <w:vAlign w:val="center"/>
          </w:tcPr>
          <w:p w:rsidR="00000000" w:rsidDel="00000000" w:rsidP="00000000" w:rsidRDefault="00000000" w:rsidRPr="00000000" w14:paraId="0000003B">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Abide by and work in accordance with the Red Cross and Red Crescent principles</w:t>
            </w:r>
          </w:p>
        </w:tc>
      </w:tr>
      <w:tr>
        <w:trPr>
          <w:trHeight w:val="340" w:hRule="atLeast"/>
        </w:trPr>
        <w:tc>
          <w:tcPr>
            <w:shd w:fill="auto" w:val="clear"/>
            <w:vAlign w:val="center"/>
          </w:tcPr>
          <w:p w:rsidR="00000000" w:rsidDel="00000000" w:rsidP="00000000" w:rsidRDefault="00000000" w:rsidRPr="00000000" w14:paraId="0000003C">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3.</w:t>
            </w:r>
          </w:p>
        </w:tc>
        <w:tc>
          <w:tcPr>
            <w:shd w:fill="auto" w:val="clear"/>
            <w:vAlign w:val="center"/>
          </w:tcPr>
          <w:p w:rsidR="00000000" w:rsidDel="00000000" w:rsidP="00000000" w:rsidRDefault="00000000" w:rsidRPr="00000000" w14:paraId="0000003D">
            <w:pPr>
              <w:pBdr>
                <w:top w:space="0" w:sz="0" w:val="nil"/>
                <w:left w:space="0" w:sz="0" w:val="nil"/>
                <w:bottom w:space="0" w:sz="0" w:val="nil"/>
                <w:right w:space="0" w:sz="0" w:val="nil"/>
                <w:between w:space="0" w:sz="0" w:val="nil"/>
              </w:pBd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Perform any other work related duties and responsibilities that may be assigned by the line manager</w:t>
            </w:r>
          </w:p>
        </w:tc>
      </w:tr>
    </w:tbl>
    <w:p w:rsidR="00000000" w:rsidDel="00000000" w:rsidP="00000000" w:rsidRDefault="00000000" w:rsidRPr="00000000" w14:paraId="0000003E">
      <w:pP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F">
      <w:pPr>
        <w:keepNext w:val="1"/>
        <w:pBdr>
          <w:top w:space="0" w:sz="0" w:val="nil"/>
          <w:left w:space="0" w:sz="0" w:val="nil"/>
          <w:bottom w:space="0" w:sz="0" w:val="nil"/>
          <w:right w:space="0" w:sz="0" w:val="nil"/>
          <w:between w:space="0" w:sz="0" w:val="nil"/>
        </w:pBdr>
        <w:spacing w:after="80" w:before="80" w:lineRule="auto"/>
        <w:jc w:val="center"/>
        <w:rPr>
          <w:rFonts w:ascii="Calibri" w:cs="Calibri" w:eastAsia="Calibri" w:hAnsi="Calibri"/>
          <w:b w:val="1"/>
          <w:color w:val="ffffff"/>
        </w:rPr>
      </w:pPr>
      <w:r w:rsidDel="00000000" w:rsidR="00000000" w:rsidRPr="00000000">
        <w:br w:type="page"/>
      </w:r>
      <w:r w:rsidDel="00000000" w:rsidR="00000000" w:rsidRPr="00000000">
        <w:rPr>
          <w:rFonts w:ascii="Calibri" w:cs="Calibri" w:eastAsia="Calibri" w:hAnsi="Calibri"/>
          <w:b w:val="1"/>
          <w:color w:val="88796c"/>
          <w:sz w:val="28"/>
          <w:szCs w:val="28"/>
          <w:rtl w:val="0"/>
        </w:rPr>
        <w:t xml:space="preserve">Profile (Position Requirements)</w:t>
      </w:r>
      <w:r w:rsidDel="00000000" w:rsidR="00000000" w:rsidRPr="00000000">
        <w:rPr>
          <w:rtl w:val="0"/>
        </w:rPr>
      </w:r>
    </w:p>
    <w:tbl>
      <w:tblPr>
        <w:tblStyle w:val="Table6"/>
        <w:tblW w:w="10206.0" w:type="dxa"/>
        <w:jc w:val="left"/>
        <w:tblInd w:w="108.0" w:type="dxa"/>
        <w:tblBorders>
          <w:top w:color="8a8175" w:space="0" w:sz="4" w:val="single"/>
          <w:left w:color="8a8175" w:space="0" w:sz="4" w:val="single"/>
          <w:bottom w:color="8a8175" w:space="0" w:sz="4" w:val="single"/>
          <w:right w:color="8a8175" w:space="0" w:sz="4" w:val="single"/>
          <w:insideH w:color="8a8175" w:space="0" w:sz="4" w:val="single"/>
          <w:insideV w:color="8a8175" w:space="0" w:sz="4" w:val="single"/>
        </w:tblBorders>
        <w:tblLayout w:type="fixed"/>
        <w:tblLook w:val="0000"/>
      </w:tblPr>
      <w:tblGrid>
        <w:gridCol w:w="6659"/>
        <w:gridCol w:w="1138"/>
        <w:gridCol w:w="1204"/>
        <w:gridCol w:w="1205"/>
        <w:tblGridChange w:id="0">
          <w:tblGrid>
            <w:gridCol w:w="6659"/>
            <w:gridCol w:w="1138"/>
            <w:gridCol w:w="1204"/>
            <w:gridCol w:w="1205"/>
          </w:tblGrid>
        </w:tblGridChange>
      </w:tblGrid>
      <w:tr>
        <w:trPr>
          <w:trHeight w:val="340" w:hRule="atLeast"/>
        </w:trPr>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40">
            <w:pP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Education</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41">
            <w:pPr>
              <w:jc w:val="center"/>
              <w:rPr>
                <w:rFonts w:ascii="Calibri" w:cs="Calibri" w:eastAsia="Calibri" w:hAnsi="Calibri"/>
                <w:b w:val="1"/>
                <w:color w:val="ffffff"/>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42">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Required</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43">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Preferred</w:t>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44">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 university degree in social sciences/behavioural/communication sciences or equivalent experience</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46">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X</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47">
            <w:pPr>
              <w:jc w:val="center"/>
              <w:rPr>
                <w:rFonts w:ascii="Calibri" w:cs="Calibri" w:eastAsia="Calibri" w:hAnsi="Calibri"/>
                <w:sz w:val="22"/>
                <w:szCs w:val="22"/>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48">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CEA Training of Trainers</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4A">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X</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4B">
            <w:pPr>
              <w:jc w:val="center"/>
              <w:rPr>
                <w:rFonts w:ascii="Calibri" w:cs="Calibri" w:eastAsia="Calibri" w:hAnsi="Calibri"/>
                <w:sz w:val="22"/>
                <w:szCs w:val="22"/>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4C">
            <w:pP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Experience</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4D">
            <w:pPr>
              <w:jc w:val="center"/>
              <w:rPr>
                <w:rFonts w:ascii="Calibri" w:cs="Calibri" w:eastAsia="Calibri" w:hAnsi="Calibri"/>
                <w:b w:val="1"/>
                <w:color w:val="ffffff"/>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4E">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Required</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4F">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Preferred</w:t>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50">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3 years of experience in a risk communications, social and behaviour change communication and  CEA related role </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52">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53">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54">
            <w:pPr>
              <w:rPr>
                <w:rFonts w:ascii="Calibri" w:cs="Calibri" w:eastAsia="Calibri" w:hAnsi="Calibri"/>
                <w:color w:val="ff0000"/>
                <w:sz w:val="20"/>
                <w:szCs w:val="20"/>
              </w:rPr>
            </w:pPr>
            <w:r w:rsidDel="00000000" w:rsidR="00000000" w:rsidRPr="00000000">
              <w:rPr>
                <w:rFonts w:ascii="Calibri" w:cs="Calibri" w:eastAsia="Calibri" w:hAnsi="Calibri"/>
                <w:color w:val="000000"/>
                <w:sz w:val="20"/>
                <w:szCs w:val="20"/>
                <w:rtl w:val="0"/>
              </w:rPr>
              <w:t xml:space="preserve">Experience in setting up and managing community feedback approaches and systems</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56">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57">
            <w:pPr>
              <w:jc w:val="center"/>
              <w:rPr>
                <w:rFonts w:ascii="Calibri" w:cs="Calibri" w:eastAsia="Calibri" w:hAnsi="Calibri"/>
                <w:sz w:val="20"/>
                <w:szCs w:val="20"/>
              </w:rPr>
            </w:pPr>
            <w:r w:rsidDel="00000000" w:rsidR="00000000" w:rsidRPr="00000000">
              <w:rPr>
                <w:rtl w:val="0"/>
              </w:rPr>
            </w:r>
          </w:p>
        </w:tc>
      </w:tr>
    </w:tbl>
    <w:p w:rsidR="00000000" w:rsidDel="00000000" w:rsidP="00000000" w:rsidRDefault="00000000" w:rsidRPr="00000000" w14:paraId="0000005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bl>
      <w:tblPr>
        <w:tblStyle w:val="Table7"/>
        <w:tblW w:w="10206.0" w:type="dxa"/>
        <w:jc w:val="left"/>
        <w:tblInd w:w="108.0" w:type="dxa"/>
        <w:tblBorders>
          <w:top w:color="8a8175" w:space="0" w:sz="4" w:val="single"/>
          <w:left w:color="8a8175" w:space="0" w:sz="4" w:val="single"/>
          <w:bottom w:color="8a8175" w:space="0" w:sz="4" w:val="single"/>
          <w:right w:color="8a8175" w:space="0" w:sz="4" w:val="single"/>
          <w:insideH w:color="8a8175" w:space="0" w:sz="4" w:val="single"/>
          <w:insideV w:color="8a8175" w:space="0" w:sz="4" w:val="single"/>
        </w:tblBorders>
        <w:tblLayout w:type="fixed"/>
        <w:tblLook w:val="0000"/>
      </w:tblPr>
      <w:tblGrid>
        <w:gridCol w:w="7797"/>
        <w:gridCol w:w="1204"/>
        <w:gridCol w:w="1205"/>
        <w:tblGridChange w:id="0">
          <w:tblGrid>
            <w:gridCol w:w="7797"/>
            <w:gridCol w:w="1204"/>
            <w:gridCol w:w="1205"/>
          </w:tblGrid>
        </w:tblGridChange>
      </w:tblGrid>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59">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Experience in delivering risk communication and community engagement capacity building, coaching, behaviour change communication training and developing local organizations’ staff and volunteers </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5A">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5B">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tcPr>
          <w:p w:rsidR="00000000" w:rsidDel="00000000" w:rsidP="00000000" w:rsidRDefault="00000000" w:rsidRPr="00000000" w14:paraId="0000005C">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Experience in setting up and managing community engagement tools (including technological solutions) such as social media, radio, TV, SMS, cinema/drama and rolling out risk communication approaches.</w:t>
            </w:r>
          </w:p>
        </w:tc>
        <w:tc>
          <w:tcPr>
            <w:tcBorders>
              <w:top w:color="a29c8d" w:space="0" w:sz="4" w:val="single"/>
              <w:left w:color="a29c8d" w:space="0" w:sz="4" w:val="single"/>
              <w:bottom w:color="a29c8d" w:space="0" w:sz="4" w:val="single"/>
              <w:right w:color="a29c8d" w:space="0" w:sz="4" w:val="single"/>
            </w:tcBorders>
          </w:tcPr>
          <w:p w:rsidR="00000000" w:rsidDel="00000000" w:rsidP="00000000" w:rsidRDefault="00000000" w:rsidRPr="00000000" w14:paraId="0000005D">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tcBorders>
              <w:top w:color="a29c8d" w:space="0" w:sz="4" w:val="single"/>
              <w:left w:color="a29c8d" w:space="0" w:sz="4" w:val="single"/>
              <w:bottom w:color="a29c8d" w:space="0" w:sz="4" w:val="single"/>
              <w:right w:color="a29c8d" w:space="0" w:sz="4" w:val="single"/>
            </w:tcBorders>
          </w:tcPr>
          <w:p w:rsidR="00000000" w:rsidDel="00000000" w:rsidP="00000000" w:rsidRDefault="00000000" w:rsidRPr="00000000" w14:paraId="0000005E">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5F">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Experience within the Red Cross and Red Crescent Movement</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60">
            <w:pPr>
              <w:jc w:val="center"/>
              <w:rPr>
                <w:rFonts w:ascii="Calibri" w:cs="Calibri" w:eastAsia="Calibri" w:hAnsi="Calibri"/>
                <w:sz w:val="20"/>
                <w:szCs w:val="20"/>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61">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r>
    </w:tbl>
    <w:p w:rsidR="00000000" w:rsidDel="00000000" w:rsidP="00000000" w:rsidRDefault="00000000" w:rsidRPr="00000000" w14:paraId="0000006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bl>
      <w:tblPr>
        <w:tblStyle w:val="Table8"/>
        <w:tblW w:w="10206.0" w:type="dxa"/>
        <w:jc w:val="left"/>
        <w:tblInd w:w="108.0" w:type="dxa"/>
        <w:tblBorders>
          <w:top w:color="8a8175" w:space="0" w:sz="4" w:val="single"/>
          <w:left w:color="8a8175" w:space="0" w:sz="4" w:val="single"/>
          <w:bottom w:color="8a8175" w:space="0" w:sz="4" w:val="single"/>
          <w:right w:color="8a8175" w:space="0" w:sz="4" w:val="single"/>
          <w:insideH w:color="8a8175" w:space="0" w:sz="4" w:val="single"/>
          <w:insideV w:color="8a8175" w:space="0" w:sz="4" w:val="single"/>
        </w:tblBorders>
        <w:tblLayout w:type="fixed"/>
        <w:tblLook w:val="0000"/>
      </w:tblPr>
      <w:tblGrid>
        <w:gridCol w:w="6659"/>
        <w:gridCol w:w="1138"/>
        <w:gridCol w:w="1204"/>
        <w:gridCol w:w="1205"/>
        <w:tblGridChange w:id="0">
          <w:tblGrid>
            <w:gridCol w:w="6659"/>
            <w:gridCol w:w="1138"/>
            <w:gridCol w:w="1204"/>
            <w:gridCol w:w="1205"/>
          </w:tblGrid>
        </w:tblGridChange>
      </w:tblGrid>
      <w:tr>
        <w:trPr>
          <w:trHeight w:val="340" w:hRule="atLeast"/>
        </w:trPr>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63">
            <w:pP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Knowledge &amp; Skills</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64">
            <w:pPr>
              <w:jc w:val="center"/>
              <w:rPr>
                <w:rFonts w:ascii="Calibri" w:cs="Calibri" w:eastAsia="Calibri" w:hAnsi="Calibri"/>
                <w:b w:val="1"/>
                <w:color w:val="ffffff"/>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65">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Required</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66">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Preferred</w:t>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67">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Good understanding of - or training in - current developments in the field of communication with communities, behavioural and social sciences, community engagement processes, strategic communication, research approaches</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69">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X</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6A">
            <w:pPr>
              <w:jc w:val="center"/>
              <w:rPr>
                <w:rFonts w:ascii="Calibri" w:cs="Calibri" w:eastAsia="Calibri" w:hAnsi="Calibri"/>
                <w:sz w:val="22"/>
                <w:szCs w:val="22"/>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6B">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Basic understanding of CEA issues in emergencies contexts</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6D">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X</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6E">
            <w:pPr>
              <w:jc w:val="center"/>
              <w:rPr>
                <w:rFonts w:ascii="Calibri" w:cs="Calibri" w:eastAsia="Calibri" w:hAnsi="Calibri"/>
                <w:sz w:val="22"/>
                <w:szCs w:val="22"/>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6F">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Sensitivity to challenging political contexts and understanding of risk management processes</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71">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X</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72">
            <w:pPr>
              <w:jc w:val="center"/>
              <w:rPr>
                <w:rFonts w:ascii="Calibri" w:cs="Calibri" w:eastAsia="Calibri" w:hAnsi="Calibri"/>
                <w:sz w:val="22"/>
                <w:szCs w:val="22"/>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73">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Good analytical skills and knowledge of quantitative, qualitative and participatory research methodologies and analysis</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75">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X</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76">
            <w:pPr>
              <w:jc w:val="center"/>
              <w:rPr>
                <w:rFonts w:ascii="Calibri" w:cs="Calibri" w:eastAsia="Calibri" w:hAnsi="Calibri"/>
                <w:sz w:val="22"/>
                <w:szCs w:val="22"/>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77">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Good planning skills, with the ability to identify areas for improvements in programmes, operations and NS/IFRC ways of working through the integration of CEA approaches and activities</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79">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X</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7A">
            <w:pPr>
              <w:jc w:val="center"/>
              <w:rPr>
                <w:rFonts w:ascii="Calibri" w:cs="Calibri" w:eastAsia="Calibri" w:hAnsi="Calibri"/>
                <w:sz w:val="22"/>
                <w:szCs w:val="22"/>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7B">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Good knowledge of gender and diversity issues in humanitarian programming</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7D">
            <w:pPr>
              <w:jc w:val="center"/>
              <w:rPr>
                <w:rFonts w:ascii="Calibri" w:cs="Calibri" w:eastAsia="Calibri" w:hAnsi="Calibri"/>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7E">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X</w:t>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7F">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Facilitations and training skills</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81">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X</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82">
            <w:pPr>
              <w:jc w:val="center"/>
              <w:rPr>
                <w:rFonts w:ascii="Calibri" w:cs="Calibri" w:eastAsia="Calibri" w:hAnsi="Calibri"/>
                <w:sz w:val="22"/>
                <w:szCs w:val="22"/>
              </w:rPr>
            </w:pPr>
            <w:r w:rsidDel="00000000" w:rsidR="00000000" w:rsidRPr="00000000">
              <w:rPr>
                <w:rtl w:val="0"/>
              </w:rPr>
            </w:r>
          </w:p>
        </w:tc>
      </w:tr>
    </w:tbl>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rPr/>
      </w:pPr>
      <w:r w:rsidDel="00000000" w:rsidR="00000000" w:rsidRPr="00000000">
        <w:rPr>
          <w:rtl w:val="0"/>
        </w:rPr>
      </w:r>
    </w:p>
    <w:tbl>
      <w:tblPr>
        <w:tblStyle w:val="Table9"/>
        <w:tblW w:w="10206.0" w:type="dxa"/>
        <w:jc w:val="left"/>
        <w:tblInd w:w="108.0" w:type="dxa"/>
        <w:tblBorders>
          <w:top w:color="8a8175" w:space="0" w:sz="4" w:val="single"/>
          <w:left w:color="8a8175" w:space="0" w:sz="4" w:val="single"/>
          <w:bottom w:color="8a8175" w:space="0" w:sz="4" w:val="single"/>
          <w:right w:color="8a8175" w:space="0" w:sz="4" w:val="single"/>
          <w:insideH w:color="8a8175" w:space="0" w:sz="4" w:val="single"/>
          <w:insideV w:color="8a8175" w:space="0" w:sz="4" w:val="single"/>
        </w:tblBorders>
        <w:tblLayout w:type="fixed"/>
        <w:tblLook w:val="0000"/>
      </w:tblPr>
      <w:tblGrid>
        <w:gridCol w:w="6659"/>
        <w:gridCol w:w="1182"/>
        <w:gridCol w:w="1182"/>
        <w:gridCol w:w="1183"/>
        <w:tblGridChange w:id="0">
          <w:tblGrid>
            <w:gridCol w:w="6659"/>
            <w:gridCol w:w="1182"/>
            <w:gridCol w:w="1182"/>
            <w:gridCol w:w="1183"/>
          </w:tblGrid>
        </w:tblGridChange>
      </w:tblGrid>
      <w:tr>
        <w:trPr>
          <w:trHeight w:val="340" w:hRule="atLeast"/>
        </w:trPr>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85">
            <w:pP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Core Competencies</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86">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Tier 1</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87">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Tier 2</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88">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Tier 3</w:t>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89">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Movement context, principles and values</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8A">
            <w:pPr>
              <w:jc w:val="center"/>
              <w:rPr>
                <w:rFonts w:ascii="Calibri" w:cs="Calibri" w:eastAsia="Calibri" w:hAnsi="Calibri"/>
                <w:color w:val="000000"/>
                <w:sz w:val="22"/>
                <w:szCs w:val="22"/>
              </w:rPr>
            </w:pPr>
            <w:r w:rsidDel="00000000" w:rsidR="00000000" w:rsidRPr="00000000">
              <w:rPr>
                <w:rFonts w:ascii="Noto Sans Symbols" w:cs="Noto Sans Symbols" w:eastAsia="Noto Sans Symbols" w:hAnsi="Noto Sans Symbols"/>
                <w:color w:val="000000"/>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8B">
            <w:pPr>
              <w:jc w:val="center"/>
              <w:rPr>
                <w:rFonts w:ascii="Calibri" w:cs="Calibri" w:eastAsia="Calibri" w:hAnsi="Calibri"/>
                <w:color w:val="000000"/>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8C">
            <w:pPr>
              <w:jc w:val="center"/>
              <w:rPr>
                <w:rFonts w:ascii="Calibri" w:cs="Calibri" w:eastAsia="Calibri" w:hAnsi="Calibri"/>
                <w:color w:val="000000"/>
                <w:sz w:val="22"/>
                <w:szCs w:val="22"/>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8D">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The Movement in the humanitarian sector</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8E">
            <w:pPr>
              <w:jc w:val="center"/>
              <w:rPr>
                <w:rFonts w:ascii="Calibri" w:cs="Calibri" w:eastAsia="Calibri" w:hAnsi="Calibri"/>
                <w:color w:val="000000"/>
                <w:sz w:val="22"/>
                <w:szCs w:val="22"/>
              </w:rPr>
            </w:pPr>
            <w:r w:rsidDel="00000000" w:rsidR="00000000" w:rsidRPr="00000000">
              <w:rPr>
                <w:rFonts w:ascii="Noto Sans Symbols" w:cs="Noto Sans Symbols" w:eastAsia="Noto Sans Symbols" w:hAnsi="Noto Sans Symbols"/>
                <w:color w:val="000000"/>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8F">
            <w:pPr>
              <w:jc w:val="center"/>
              <w:rPr>
                <w:rFonts w:ascii="Calibri" w:cs="Calibri" w:eastAsia="Calibri" w:hAnsi="Calibri"/>
                <w:color w:val="000000"/>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0">
            <w:pPr>
              <w:jc w:val="center"/>
              <w:rPr>
                <w:rFonts w:ascii="Calibri" w:cs="Calibri" w:eastAsia="Calibri" w:hAnsi="Calibri"/>
                <w:color w:val="000000"/>
                <w:sz w:val="22"/>
                <w:szCs w:val="22"/>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1">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Coordination</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2">
            <w:pPr>
              <w:jc w:val="center"/>
              <w:rPr>
                <w:rFonts w:ascii="Calibri" w:cs="Calibri" w:eastAsia="Calibri" w:hAnsi="Calibri"/>
                <w:color w:val="000000"/>
                <w:sz w:val="22"/>
                <w:szCs w:val="22"/>
              </w:rPr>
            </w:pPr>
            <w:r w:rsidDel="00000000" w:rsidR="00000000" w:rsidRPr="00000000">
              <w:rPr>
                <w:rFonts w:ascii="Noto Sans Symbols" w:cs="Noto Sans Symbols" w:eastAsia="Noto Sans Symbols" w:hAnsi="Noto Sans Symbols"/>
                <w:color w:val="000000"/>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3">
            <w:pPr>
              <w:jc w:val="center"/>
              <w:rPr>
                <w:rFonts w:ascii="Calibri" w:cs="Calibri" w:eastAsia="Calibri" w:hAnsi="Calibri"/>
                <w:color w:val="000000"/>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4">
            <w:pPr>
              <w:jc w:val="center"/>
              <w:rPr>
                <w:rFonts w:ascii="Calibri" w:cs="Calibri" w:eastAsia="Calibri" w:hAnsi="Calibri"/>
                <w:color w:val="000000"/>
                <w:sz w:val="22"/>
                <w:szCs w:val="22"/>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5">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Assessment</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6">
            <w:pPr>
              <w:jc w:val="center"/>
              <w:rPr>
                <w:rFonts w:ascii="Calibri" w:cs="Calibri" w:eastAsia="Calibri" w:hAnsi="Calibri"/>
                <w:color w:val="000000"/>
                <w:sz w:val="22"/>
                <w:szCs w:val="22"/>
              </w:rPr>
            </w:pPr>
            <w:r w:rsidDel="00000000" w:rsidR="00000000" w:rsidRPr="00000000">
              <w:rPr>
                <w:rFonts w:ascii="Noto Sans Symbols" w:cs="Noto Sans Symbols" w:eastAsia="Noto Sans Symbols" w:hAnsi="Noto Sans Symbols"/>
                <w:color w:val="000000"/>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7">
            <w:pPr>
              <w:jc w:val="center"/>
              <w:rPr>
                <w:rFonts w:ascii="Calibri" w:cs="Calibri" w:eastAsia="Calibri" w:hAnsi="Calibri"/>
                <w:color w:val="000000"/>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8">
            <w:pPr>
              <w:jc w:val="center"/>
              <w:rPr>
                <w:rFonts w:ascii="Calibri" w:cs="Calibri" w:eastAsia="Calibri" w:hAnsi="Calibri"/>
                <w:color w:val="000000"/>
                <w:sz w:val="22"/>
                <w:szCs w:val="22"/>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9">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Programme management &amp; reporting</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A">
            <w:pPr>
              <w:jc w:val="center"/>
              <w:rPr>
                <w:rFonts w:ascii="Calibri" w:cs="Calibri" w:eastAsia="Calibri" w:hAnsi="Calibri"/>
                <w:color w:val="000000"/>
                <w:sz w:val="22"/>
                <w:szCs w:val="22"/>
              </w:rPr>
            </w:pPr>
            <w:r w:rsidDel="00000000" w:rsidR="00000000" w:rsidRPr="00000000">
              <w:rPr>
                <w:rFonts w:ascii="Noto Sans Symbols" w:cs="Noto Sans Symbols" w:eastAsia="Noto Sans Symbols" w:hAnsi="Noto Sans Symbols"/>
                <w:color w:val="000000"/>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B">
            <w:pPr>
              <w:jc w:val="center"/>
              <w:rPr>
                <w:rFonts w:ascii="Calibri" w:cs="Calibri" w:eastAsia="Calibri" w:hAnsi="Calibri"/>
                <w:color w:val="000000"/>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C">
            <w:pPr>
              <w:jc w:val="center"/>
              <w:rPr>
                <w:rFonts w:ascii="Calibri" w:cs="Calibri" w:eastAsia="Calibri" w:hAnsi="Calibri"/>
                <w:color w:val="000000"/>
                <w:sz w:val="22"/>
                <w:szCs w:val="22"/>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D">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Information management</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E">
            <w:pPr>
              <w:jc w:val="center"/>
              <w:rPr>
                <w:rFonts w:ascii="Calibri" w:cs="Calibri" w:eastAsia="Calibri" w:hAnsi="Calibri"/>
                <w:color w:val="000000"/>
                <w:sz w:val="22"/>
                <w:szCs w:val="22"/>
              </w:rPr>
            </w:pPr>
            <w:r w:rsidDel="00000000" w:rsidR="00000000" w:rsidRPr="00000000">
              <w:rPr>
                <w:rFonts w:ascii="Noto Sans Symbols" w:cs="Noto Sans Symbols" w:eastAsia="Noto Sans Symbols" w:hAnsi="Noto Sans Symbols"/>
                <w:color w:val="000000"/>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F">
            <w:pPr>
              <w:jc w:val="center"/>
              <w:rPr>
                <w:rFonts w:ascii="Calibri" w:cs="Calibri" w:eastAsia="Calibri" w:hAnsi="Calibri"/>
                <w:color w:val="000000"/>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A0">
            <w:pPr>
              <w:jc w:val="center"/>
              <w:rPr>
                <w:rFonts w:ascii="Calibri" w:cs="Calibri" w:eastAsia="Calibri" w:hAnsi="Calibri"/>
                <w:color w:val="000000"/>
                <w:sz w:val="22"/>
                <w:szCs w:val="22"/>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bottom"/>
          </w:tcPr>
          <w:p w:rsidR="00000000" w:rsidDel="00000000" w:rsidP="00000000" w:rsidRDefault="00000000" w:rsidRPr="00000000" w14:paraId="000000A1">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Resource management</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A2">
            <w:pPr>
              <w:jc w:val="center"/>
              <w:rPr>
                <w:rFonts w:ascii="Calibri" w:cs="Calibri" w:eastAsia="Calibri" w:hAnsi="Calibri"/>
                <w:color w:val="000000"/>
                <w:sz w:val="22"/>
                <w:szCs w:val="22"/>
              </w:rPr>
            </w:pPr>
            <w:r w:rsidDel="00000000" w:rsidR="00000000" w:rsidRPr="00000000">
              <w:rPr>
                <w:rFonts w:ascii="Noto Sans Symbols" w:cs="Noto Sans Symbols" w:eastAsia="Noto Sans Symbols" w:hAnsi="Noto Sans Symbols"/>
                <w:color w:val="000000"/>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A3">
            <w:pPr>
              <w:jc w:val="center"/>
              <w:rPr>
                <w:rFonts w:ascii="Calibri" w:cs="Calibri" w:eastAsia="Calibri" w:hAnsi="Calibri"/>
                <w:color w:val="000000"/>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A4">
            <w:pPr>
              <w:jc w:val="center"/>
              <w:rPr>
                <w:rFonts w:ascii="Calibri" w:cs="Calibri" w:eastAsia="Calibri" w:hAnsi="Calibri"/>
                <w:color w:val="000000"/>
                <w:sz w:val="22"/>
                <w:szCs w:val="22"/>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bottom"/>
          </w:tcPr>
          <w:p w:rsidR="00000000" w:rsidDel="00000000" w:rsidP="00000000" w:rsidRDefault="00000000" w:rsidRPr="00000000" w14:paraId="000000A5">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Direction setting and operational objectives</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A6">
            <w:pPr>
              <w:jc w:val="center"/>
              <w:rPr>
                <w:rFonts w:ascii="Calibri" w:cs="Calibri" w:eastAsia="Calibri" w:hAnsi="Calibri"/>
                <w:color w:val="000000"/>
                <w:sz w:val="22"/>
                <w:szCs w:val="22"/>
              </w:rPr>
            </w:pPr>
            <w:r w:rsidDel="00000000" w:rsidR="00000000" w:rsidRPr="00000000">
              <w:rPr>
                <w:rFonts w:ascii="Noto Sans Symbols" w:cs="Noto Sans Symbols" w:eastAsia="Noto Sans Symbols" w:hAnsi="Noto Sans Symbols"/>
                <w:color w:val="000000"/>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A7">
            <w:pPr>
              <w:jc w:val="center"/>
              <w:rPr>
                <w:rFonts w:ascii="Calibri" w:cs="Calibri" w:eastAsia="Calibri" w:hAnsi="Calibri"/>
                <w:color w:val="000000"/>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A8">
            <w:pPr>
              <w:jc w:val="center"/>
              <w:rPr>
                <w:rFonts w:ascii="Calibri" w:cs="Calibri" w:eastAsia="Calibri" w:hAnsi="Calibri"/>
                <w:color w:val="000000"/>
                <w:sz w:val="22"/>
                <w:szCs w:val="22"/>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bottom"/>
          </w:tcPr>
          <w:p w:rsidR="00000000" w:rsidDel="00000000" w:rsidP="00000000" w:rsidRDefault="00000000" w:rsidRPr="00000000" w14:paraId="000000A9">
            <w:pPr>
              <w:rPr>
                <w:rFonts w:ascii="Calibri" w:cs="Calibri" w:eastAsia="Calibri" w:hAnsi="Calibri"/>
                <w:color w:val="000000"/>
                <w:sz w:val="20"/>
                <w:szCs w:val="20"/>
              </w:rPr>
            </w:pPr>
            <w:r w:rsidDel="00000000" w:rsidR="00000000" w:rsidRPr="00000000">
              <w:rPr>
                <w:rFonts w:ascii="Calibri" w:cs="Calibri" w:eastAsia="Calibri" w:hAnsi="Calibri"/>
                <w:sz w:val="20"/>
                <w:szCs w:val="20"/>
                <w:rtl w:val="0"/>
              </w:rPr>
              <w:t xml:space="preserve">Safety and Security </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AA">
            <w:pPr>
              <w:jc w:val="center"/>
              <w:rPr>
                <w:rFonts w:ascii="Noto Sans Symbols" w:cs="Noto Sans Symbols" w:eastAsia="Noto Sans Symbols" w:hAnsi="Noto Sans Symbols"/>
                <w:color w:val="000000"/>
                <w:sz w:val="22"/>
                <w:szCs w:val="22"/>
              </w:rPr>
            </w:pPr>
            <w:r w:rsidDel="00000000" w:rsidR="00000000" w:rsidRPr="00000000">
              <w:rPr>
                <w:rFonts w:ascii="Noto Sans Symbols" w:cs="Noto Sans Symbols" w:eastAsia="Noto Sans Symbols" w:hAnsi="Noto Sans Symbols"/>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AB">
            <w:pPr>
              <w:jc w:val="center"/>
              <w:rPr>
                <w:rFonts w:ascii="Calibri" w:cs="Calibri" w:eastAsia="Calibri" w:hAnsi="Calibri"/>
                <w:color w:val="000000"/>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AC">
            <w:pPr>
              <w:jc w:val="center"/>
              <w:rPr>
                <w:rFonts w:ascii="Calibri" w:cs="Calibri" w:eastAsia="Calibri" w:hAnsi="Calibri"/>
                <w:color w:val="000000"/>
                <w:sz w:val="22"/>
                <w:szCs w:val="22"/>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shd w:fill="a6a6a6" w:val="clear"/>
            <w:vAlign w:val="bottom"/>
          </w:tcPr>
          <w:p w:rsidR="00000000" w:rsidDel="00000000" w:rsidP="00000000" w:rsidRDefault="00000000" w:rsidRPr="00000000" w14:paraId="000000AD">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Community engagement and accountability</w:t>
            </w:r>
          </w:p>
        </w:tc>
        <w:tc>
          <w:tcPr>
            <w:tcBorders>
              <w:top w:color="a29c8d" w:space="0" w:sz="4" w:val="single"/>
              <w:left w:color="a29c8d" w:space="0" w:sz="4" w:val="single"/>
              <w:bottom w:color="a29c8d" w:space="0" w:sz="4" w:val="single"/>
              <w:right w:color="a29c8d" w:space="0" w:sz="4" w:val="single"/>
            </w:tcBorders>
            <w:shd w:fill="a6a6a6" w:val="clear"/>
            <w:vAlign w:val="center"/>
          </w:tcPr>
          <w:p w:rsidR="00000000" w:rsidDel="00000000" w:rsidP="00000000" w:rsidRDefault="00000000" w:rsidRPr="00000000" w14:paraId="000000AE">
            <w:pPr>
              <w:jc w:val="center"/>
              <w:rPr>
                <w:rFonts w:ascii="Calibri" w:cs="Calibri" w:eastAsia="Calibri" w:hAnsi="Calibri"/>
                <w:color w:val="000000"/>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shd w:fill="a6a6a6" w:val="clear"/>
            <w:vAlign w:val="center"/>
          </w:tcPr>
          <w:p w:rsidR="00000000" w:rsidDel="00000000" w:rsidP="00000000" w:rsidRDefault="00000000" w:rsidRPr="00000000" w14:paraId="000000AF">
            <w:pPr>
              <w:jc w:val="center"/>
              <w:rPr>
                <w:rFonts w:ascii="Calibri" w:cs="Calibri" w:eastAsia="Calibri" w:hAnsi="Calibri"/>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shd w:fill="a6a6a6" w:val="clear"/>
            <w:vAlign w:val="center"/>
          </w:tcPr>
          <w:p w:rsidR="00000000" w:rsidDel="00000000" w:rsidP="00000000" w:rsidRDefault="00000000" w:rsidRPr="00000000" w14:paraId="000000B0">
            <w:pPr>
              <w:jc w:val="center"/>
              <w:rPr>
                <w:rFonts w:ascii="Calibri" w:cs="Calibri" w:eastAsia="Calibri" w:hAnsi="Calibri"/>
                <w:color w:val="000000"/>
                <w:sz w:val="22"/>
                <w:szCs w:val="22"/>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bottom"/>
          </w:tcPr>
          <w:p w:rsidR="00000000" w:rsidDel="00000000" w:rsidP="00000000" w:rsidRDefault="00000000" w:rsidRPr="00000000" w14:paraId="000000B1">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Protection, gender and inclusion</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2">
            <w:pPr>
              <w:jc w:val="center"/>
              <w:rPr>
                <w:rFonts w:ascii="Calibri" w:cs="Calibri" w:eastAsia="Calibri" w:hAnsi="Calibri"/>
                <w:color w:val="000000"/>
                <w:sz w:val="22"/>
                <w:szCs w:val="22"/>
              </w:rPr>
            </w:pPr>
            <w:r w:rsidDel="00000000" w:rsidR="00000000" w:rsidRPr="00000000">
              <w:rPr>
                <w:rFonts w:ascii="Noto Sans Symbols" w:cs="Noto Sans Symbols" w:eastAsia="Noto Sans Symbols" w:hAnsi="Noto Sans Symbols"/>
                <w:color w:val="000000"/>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3">
            <w:pPr>
              <w:jc w:val="center"/>
              <w:rPr>
                <w:rFonts w:ascii="Calibri" w:cs="Calibri" w:eastAsia="Calibri" w:hAnsi="Calibri"/>
                <w:color w:val="000000"/>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4">
            <w:pPr>
              <w:jc w:val="center"/>
              <w:rPr>
                <w:rFonts w:ascii="Calibri" w:cs="Calibri" w:eastAsia="Calibri" w:hAnsi="Calibri"/>
                <w:color w:val="000000"/>
                <w:sz w:val="22"/>
                <w:szCs w:val="22"/>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bottom"/>
          </w:tcPr>
          <w:p w:rsidR="00000000" w:rsidDel="00000000" w:rsidP="00000000" w:rsidRDefault="00000000" w:rsidRPr="00000000" w14:paraId="000000B5">
            <w:pPr>
              <w:tabs>
                <w:tab w:val="left" w:pos="1170"/>
              </w:tabs>
              <w:rPr>
                <w:rFonts w:ascii="Calibri" w:cs="Calibri" w:eastAsia="Calibri" w:hAnsi="Calibri"/>
                <w:sz w:val="20"/>
                <w:szCs w:val="20"/>
              </w:rPr>
            </w:pPr>
            <w:r w:rsidDel="00000000" w:rsidR="00000000" w:rsidRPr="00000000">
              <w:rPr>
                <w:rFonts w:ascii="Calibri" w:cs="Calibri" w:eastAsia="Calibri" w:hAnsi="Calibri"/>
                <w:color w:val="000000"/>
                <w:sz w:val="20"/>
                <w:szCs w:val="20"/>
                <w:rtl w:val="0"/>
              </w:rPr>
              <w:t xml:space="preserve">Environmental sustainability </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6">
            <w:pPr>
              <w:jc w:val="center"/>
              <w:rPr>
                <w:rFonts w:ascii="Calibri" w:cs="Calibri" w:eastAsia="Calibri" w:hAnsi="Calibri"/>
                <w:sz w:val="22"/>
                <w:szCs w:val="22"/>
              </w:rPr>
            </w:pPr>
            <w:r w:rsidDel="00000000" w:rsidR="00000000" w:rsidRPr="00000000">
              <w:rPr>
                <w:rFonts w:ascii="Noto Sans Symbols" w:cs="Noto Sans Symbols" w:eastAsia="Noto Sans Symbols" w:hAnsi="Noto Sans Symbols"/>
                <w:color w:val="000000"/>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7">
            <w:pPr>
              <w:jc w:val="center"/>
              <w:rPr>
                <w:rFonts w:ascii="Calibri" w:cs="Calibri" w:eastAsia="Calibri" w:hAnsi="Calibri"/>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8">
            <w:pPr>
              <w:jc w:val="center"/>
              <w:rPr>
                <w:rFonts w:ascii="Calibri" w:cs="Calibri" w:eastAsia="Calibri" w:hAnsi="Calibri"/>
                <w:sz w:val="22"/>
                <w:szCs w:val="22"/>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9">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Collaboration and teamwork</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A">
            <w:pPr>
              <w:jc w:val="center"/>
              <w:rPr>
                <w:rFonts w:ascii="Calibri" w:cs="Calibri" w:eastAsia="Calibri" w:hAnsi="Calibri"/>
                <w:sz w:val="20"/>
                <w:szCs w:val="20"/>
              </w:rPr>
            </w:pPr>
            <w:r w:rsidDel="00000000" w:rsidR="00000000" w:rsidRPr="00000000">
              <w:rPr>
                <w:rFonts w:ascii="Noto Sans Symbols" w:cs="Noto Sans Symbols" w:eastAsia="Noto Sans Symbols" w:hAnsi="Noto Sans Symbols"/>
                <w:color w:val="000000"/>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B">
            <w:pPr>
              <w:jc w:val="center"/>
              <w:rPr>
                <w:rFonts w:ascii="Calibri" w:cs="Calibri" w:eastAsia="Calibri" w:hAnsi="Calibri"/>
                <w:sz w:val="20"/>
                <w:szCs w:val="20"/>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C">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D">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Conflict management</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E">
            <w:pPr>
              <w:jc w:val="center"/>
              <w:rPr>
                <w:rFonts w:ascii="Calibri" w:cs="Calibri" w:eastAsia="Calibri" w:hAnsi="Calibri"/>
                <w:sz w:val="20"/>
                <w:szCs w:val="20"/>
              </w:rPr>
            </w:pPr>
            <w:r w:rsidDel="00000000" w:rsidR="00000000" w:rsidRPr="00000000">
              <w:rPr>
                <w:rFonts w:ascii="Noto Sans Symbols" w:cs="Noto Sans Symbols" w:eastAsia="Noto Sans Symbols" w:hAnsi="Noto Sans Symbols"/>
                <w:color w:val="000000"/>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F">
            <w:pPr>
              <w:jc w:val="center"/>
              <w:rPr>
                <w:rFonts w:ascii="Calibri" w:cs="Calibri" w:eastAsia="Calibri" w:hAnsi="Calibri"/>
                <w:sz w:val="20"/>
                <w:szCs w:val="20"/>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0">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1">
            <w:pPr>
              <w:rPr>
                <w:rFonts w:ascii="Calibri" w:cs="Calibri" w:eastAsia="Calibri" w:hAnsi="Calibri"/>
                <w:color w:val="000000"/>
                <w:sz w:val="20"/>
                <w:szCs w:val="20"/>
              </w:rPr>
            </w:pPr>
            <w:r w:rsidDel="00000000" w:rsidR="00000000" w:rsidRPr="00000000">
              <w:rPr>
                <w:rFonts w:ascii="Calibri" w:cs="Calibri" w:eastAsia="Calibri" w:hAnsi="Calibri"/>
                <w:sz w:val="20"/>
                <w:szCs w:val="20"/>
                <w:rtl w:val="0"/>
              </w:rPr>
              <w:t xml:space="preserve">Interpersonal c</w:t>
            </w:r>
            <w:r w:rsidDel="00000000" w:rsidR="00000000" w:rsidRPr="00000000">
              <w:rPr>
                <w:rFonts w:ascii="Calibri" w:cs="Calibri" w:eastAsia="Calibri" w:hAnsi="Calibri"/>
                <w:color w:val="000000"/>
                <w:sz w:val="20"/>
                <w:szCs w:val="20"/>
                <w:rtl w:val="0"/>
              </w:rPr>
              <w:t xml:space="preserve">ommunication </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2">
            <w:pPr>
              <w:jc w:val="center"/>
              <w:rPr>
                <w:rFonts w:ascii="Calibri" w:cs="Calibri" w:eastAsia="Calibri" w:hAnsi="Calibri"/>
                <w:sz w:val="20"/>
                <w:szCs w:val="20"/>
              </w:rPr>
            </w:pPr>
            <w:r w:rsidDel="00000000" w:rsidR="00000000" w:rsidRPr="00000000">
              <w:rPr>
                <w:rFonts w:ascii="Noto Sans Symbols" w:cs="Noto Sans Symbols" w:eastAsia="Noto Sans Symbols" w:hAnsi="Noto Sans Symbols"/>
                <w:color w:val="000000"/>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3">
            <w:pPr>
              <w:jc w:val="center"/>
              <w:rPr>
                <w:rFonts w:ascii="Calibri" w:cs="Calibri" w:eastAsia="Calibri" w:hAnsi="Calibri"/>
                <w:sz w:val="20"/>
                <w:szCs w:val="20"/>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4">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5">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Cultural awareness </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6">
            <w:pPr>
              <w:jc w:val="center"/>
              <w:rPr>
                <w:rFonts w:ascii="Calibri" w:cs="Calibri" w:eastAsia="Calibri" w:hAnsi="Calibri"/>
                <w:sz w:val="20"/>
                <w:szCs w:val="20"/>
              </w:rPr>
            </w:pPr>
            <w:r w:rsidDel="00000000" w:rsidR="00000000" w:rsidRPr="00000000">
              <w:rPr>
                <w:rFonts w:ascii="Noto Sans Symbols" w:cs="Noto Sans Symbols" w:eastAsia="Noto Sans Symbols" w:hAnsi="Noto Sans Symbols"/>
                <w:color w:val="000000"/>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7">
            <w:pPr>
              <w:jc w:val="center"/>
              <w:rPr>
                <w:rFonts w:ascii="Calibri" w:cs="Calibri" w:eastAsia="Calibri" w:hAnsi="Calibri"/>
                <w:sz w:val="20"/>
                <w:szCs w:val="20"/>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8">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9">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Judgement and decision making </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A">
            <w:pPr>
              <w:jc w:val="center"/>
              <w:rPr>
                <w:rFonts w:ascii="Calibri" w:cs="Calibri" w:eastAsia="Calibri" w:hAnsi="Calibri"/>
                <w:sz w:val="20"/>
                <w:szCs w:val="20"/>
              </w:rPr>
            </w:pPr>
            <w:r w:rsidDel="00000000" w:rsidR="00000000" w:rsidRPr="00000000">
              <w:rPr>
                <w:rFonts w:ascii="Noto Sans Symbols" w:cs="Noto Sans Symbols" w:eastAsia="Noto Sans Symbols" w:hAnsi="Noto Sans Symbols"/>
                <w:color w:val="000000"/>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B">
            <w:pPr>
              <w:jc w:val="center"/>
              <w:rPr>
                <w:rFonts w:ascii="Calibri" w:cs="Calibri" w:eastAsia="Calibri" w:hAnsi="Calibri"/>
                <w:sz w:val="20"/>
                <w:szCs w:val="20"/>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C">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D">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Motivation</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E">
            <w:pPr>
              <w:jc w:val="center"/>
              <w:rPr>
                <w:rFonts w:ascii="Calibri" w:cs="Calibri" w:eastAsia="Calibri" w:hAnsi="Calibri"/>
                <w:sz w:val="20"/>
                <w:szCs w:val="20"/>
              </w:rPr>
            </w:pPr>
            <w:r w:rsidDel="00000000" w:rsidR="00000000" w:rsidRPr="00000000">
              <w:rPr>
                <w:rFonts w:ascii="Noto Sans Symbols" w:cs="Noto Sans Symbols" w:eastAsia="Noto Sans Symbols" w:hAnsi="Noto Sans Symbols"/>
                <w:color w:val="000000"/>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F">
            <w:pPr>
              <w:jc w:val="center"/>
              <w:rPr>
                <w:rFonts w:ascii="Calibri" w:cs="Calibri" w:eastAsia="Calibri" w:hAnsi="Calibri"/>
                <w:sz w:val="20"/>
                <w:szCs w:val="20"/>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D0">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D1">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Personal resilience</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D2">
            <w:pPr>
              <w:jc w:val="center"/>
              <w:rPr>
                <w:rFonts w:ascii="Calibri" w:cs="Calibri" w:eastAsia="Calibri" w:hAnsi="Calibri"/>
                <w:sz w:val="20"/>
                <w:szCs w:val="20"/>
              </w:rPr>
            </w:pPr>
            <w:r w:rsidDel="00000000" w:rsidR="00000000" w:rsidRPr="00000000">
              <w:rPr>
                <w:rFonts w:ascii="Noto Sans Symbols" w:cs="Noto Sans Symbols" w:eastAsia="Noto Sans Symbols" w:hAnsi="Noto Sans Symbols"/>
                <w:color w:val="000000"/>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D3">
            <w:pPr>
              <w:jc w:val="center"/>
              <w:rPr>
                <w:rFonts w:ascii="Calibri" w:cs="Calibri" w:eastAsia="Calibri" w:hAnsi="Calibri"/>
                <w:sz w:val="20"/>
                <w:szCs w:val="20"/>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D4">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D5">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Integrity</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D6">
            <w:pPr>
              <w:jc w:val="center"/>
              <w:rPr>
                <w:rFonts w:ascii="Calibri" w:cs="Calibri" w:eastAsia="Calibri" w:hAnsi="Calibri"/>
                <w:color w:val="000000"/>
                <w:sz w:val="22"/>
                <w:szCs w:val="22"/>
              </w:rPr>
            </w:pPr>
            <w:r w:rsidDel="00000000" w:rsidR="00000000" w:rsidRPr="00000000">
              <w:rPr>
                <w:rFonts w:ascii="Noto Sans Symbols" w:cs="Noto Sans Symbols" w:eastAsia="Noto Sans Symbols" w:hAnsi="Noto Sans Symbols"/>
                <w:color w:val="000000"/>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D7">
            <w:pPr>
              <w:jc w:val="center"/>
              <w:rPr>
                <w:rFonts w:ascii="Calibri" w:cs="Calibri" w:eastAsia="Calibri" w:hAnsi="Calibri"/>
                <w:sz w:val="20"/>
                <w:szCs w:val="20"/>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D8">
            <w:pPr>
              <w:jc w:val="center"/>
              <w:rPr>
                <w:rFonts w:ascii="Calibri" w:cs="Calibri" w:eastAsia="Calibri" w:hAnsi="Calibri"/>
                <w:sz w:val="20"/>
                <w:szCs w:val="20"/>
              </w:rPr>
            </w:pPr>
            <w:r w:rsidDel="00000000" w:rsidR="00000000" w:rsidRPr="00000000">
              <w:rPr>
                <w:rtl w:val="0"/>
              </w:rPr>
            </w:r>
          </w:p>
        </w:tc>
      </w:tr>
    </w:tbl>
    <w:p w:rsidR="00000000" w:rsidDel="00000000" w:rsidP="00000000" w:rsidRDefault="00000000" w:rsidRPr="00000000" w14:paraId="000000D9">
      <w:pPr>
        <w:tabs>
          <w:tab w:val="left" w:pos="6771"/>
          <w:tab w:val="left" w:pos="8141"/>
          <w:tab w:val="left" w:pos="9511"/>
        </w:tabs>
        <w:ind w:left="108" w:firstLine="0"/>
        <w:rPr>
          <w:rFonts w:ascii="Calibri" w:cs="Calibri" w:eastAsia="Calibri" w:hAnsi="Calibri"/>
          <w:sz w:val="20"/>
          <w:szCs w:val="20"/>
        </w:rPr>
      </w:pPr>
      <w:r w:rsidDel="00000000" w:rsidR="00000000" w:rsidRPr="00000000">
        <w:rPr>
          <w:rtl w:val="0"/>
        </w:rPr>
      </w:r>
    </w:p>
    <w:tbl>
      <w:tblPr>
        <w:tblStyle w:val="Table10"/>
        <w:tblW w:w="10206.0" w:type="dxa"/>
        <w:jc w:val="left"/>
        <w:tblInd w:w="108.0" w:type="dxa"/>
        <w:tblBorders>
          <w:top w:color="8a8175" w:space="0" w:sz="4" w:val="single"/>
          <w:left w:color="8a8175" w:space="0" w:sz="4" w:val="single"/>
          <w:bottom w:color="8a8175" w:space="0" w:sz="4" w:val="single"/>
          <w:right w:color="8a8175" w:space="0" w:sz="4" w:val="single"/>
          <w:insideH w:color="8a8175" w:space="0" w:sz="4" w:val="single"/>
          <w:insideV w:color="8a8175" w:space="0" w:sz="4" w:val="single"/>
        </w:tblBorders>
        <w:tblLayout w:type="fixed"/>
        <w:tblLook w:val="0000"/>
      </w:tblPr>
      <w:tblGrid>
        <w:gridCol w:w="6663"/>
        <w:gridCol w:w="1181"/>
        <w:gridCol w:w="590"/>
        <w:gridCol w:w="1443"/>
        <w:gridCol w:w="329"/>
        <w:tblGridChange w:id="0">
          <w:tblGrid>
            <w:gridCol w:w="6663"/>
            <w:gridCol w:w="1181"/>
            <w:gridCol w:w="590"/>
            <w:gridCol w:w="1443"/>
            <w:gridCol w:w="329"/>
          </w:tblGrid>
        </w:tblGridChange>
      </w:tblGrid>
      <w:tr>
        <w:trPr>
          <w:trHeight w:val="340" w:hRule="atLeast"/>
        </w:trPr>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DA">
            <w:pPr>
              <w:tabs>
                <w:tab w:val="left" w:pos="1170"/>
              </w:tabs>
              <w:rPr>
                <w:rFonts w:ascii="Calibri" w:cs="Calibri" w:eastAsia="Calibri" w:hAnsi="Calibri"/>
                <w:sz w:val="20"/>
                <w:szCs w:val="20"/>
              </w:rPr>
            </w:pPr>
            <w:r w:rsidDel="00000000" w:rsidR="00000000" w:rsidRPr="00000000">
              <w:rPr>
                <w:rFonts w:ascii="Calibri" w:cs="Calibri" w:eastAsia="Calibri" w:hAnsi="Calibri"/>
                <w:b w:val="1"/>
                <w:color w:val="ffffff"/>
                <w:sz w:val="20"/>
                <w:szCs w:val="20"/>
                <w:rtl w:val="0"/>
              </w:rPr>
              <w:t xml:space="preserve">Technical Competencies </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DB">
            <w:pPr>
              <w:jc w:val="cente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Tier 1</w:t>
            </w:r>
          </w:p>
        </w:tc>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DC">
            <w:pPr>
              <w:jc w:val="cente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           Tier 2</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DE">
            <w:pPr>
              <w:jc w:val="center"/>
              <w:rPr>
                <w:rFonts w:ascii="Calibri" w:cs="Calibri" w:eastAsia="Calibri" w:hAnsi="Calibri"/>
                <w:b w:val="1"/>
                <w:color w:val="ffffff"/>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DF">
            <w:pPr>
              <w:tabs>
                <w:tab w:val="left" w:pos="117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Mainstreaming</w:t>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E0">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E2">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E4">
            <w:pPr>
              <w:tabs>
                <w:tab w:val="left" w:pos="117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Capacity Building </w:t>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E5">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E7">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E9">
            <w:pPr>
              <w:tabs>
                <w:tab w:val="left" w:pos="117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Community Participation</w:t>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EA">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EC">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EE">
            <w:pPr>
              <w:tabs>
                <w:tab w:val="left" w:pos="1170"/>
              </w:tabs>
              <w:rPr>
                <w:rFonts w:ascii="Calibri" w:cs="Calibri" w:eastAsia="Calibri" w:hAnsi="Calibri"/>
                <w:sz w:val="20"/>
                <w:szCs w:val="20"/>
              </w:rPr>
            </w:pPr>
            <w:bookmarkStart w:colFirst="0" w:colLast="0" w:name="_gjdgxs" w:id="0"/>
            <w:bookmarkEnd w:id="0"/>
            <w:r w:rsidDel="00000000" w:rsidR="00000000" w:rsidRPr="00000000">
              <w:rPr>
                <w:rFonts w:ascii="Calibri" w:cs="Calibri" w:eastAsia="Calibri" w:hAnsi="Calibri"/>
                <w:sz w:val="20"/>
                <w:szCs w:val="20"/>
                <w:rtl w:val="0"/>
              </w:rPr>
              <w:t xml:space="preserve">Community Understanding</w:t>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EF">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F1">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F3">
            <w:pPr>
              <w:tabs>
                <w:tab w:val="left" w:pos="117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Behaviour and social change communication</w:t>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F4">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F6">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F8">
            <w:pPr>
              <w:tabs>
                <w:tab w:val="left" w:pos="117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Evidence-based advocacy</w:t>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F9">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FB">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FD">
            <w:pPr>
              <w:tabs>
                <w:tab w:val="left" w:pos="117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Sexual and Gender-based Violence Prevention and Response</w:t>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FE">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100">
            <w:pPr>
              <w:jc w:val="center"/>
              <w:rPr>
                <w:rFonts w:ascii="Calibri" w:cs="Calibri" w:eastAsia="Calibri" w:hAnsi="Calibri"/>
                <w:sz w:val="20"/>
                <w:szCs w:val="20"/>
              </w:rPr>
            </w:pPr>
            <w:r w:rsidDel="00000000" w:rsidR="00000000" w:rsidRPr="00000000">
              <w:rPr>
                <w:rtl w:val="0"/>
              </w:rPr>
            </w:r>
          </w:p>
        </w:tc>
      </w:tr>
    </w:tbl>
    <w:p w:rsidR="00000000" w:rsidDel="00000000" w:rsidP="00000000" w:rsidRDefault="00000000" w:rsidRPr="00000000" w14:paraId="00000102">
      <w:pPr>
        <w:tabs>
          <w:tab w:val="left" w:pos="6771"/>
          <w:tab w:val="left" w:pos="8141"/>
          <w:tab w:val="left" w:pos="9511"/>
        </w:tabs>
        <w:ind w:left="108"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03">
      <w:pPr>
        <w:tabs>
          <w:tab w:val="left" w:pos="6771"/>
          <w:tab w:val="left" w:pos="8141"/>
          <w:tab w:val="left" w:pos="9511"/>
        </w:tabs>
        <w:ind w:left="108" w:firstLine="0"/>
        <w:rPr>
          <w:rFonts w:ascii="Calibri" w:cs="Calibri" w:eastAsia="Calibri" w:hAnsi="Calibri"/>
          <w:sz w:val="20"/>
          <w:szCs w:val="20"/>
        </w:rPr>
      </w:pPr>
      <w:r w:rsidDel="00000000" w:rsidR="00000000" w:rsidRPr="00000000">
        <w:rPr>
          <w:rFonts w:ascii="Calibri" w:cs="Calibri" w:eastAsia="Calibri" w:hAnsi="Calibri"/>
          <w:sz w:val="20"/>
          <w:szCs w:val="20"/>
          <w:rtl w:val="0"/>
        </w:rPr>
        <w:tab/>
        <w:tab/>
        <w:tab/>
      </w:r>
    </w:p>
    <w:tbl>
      <w:tblPr>
        <w:tblStyle w:val="Table11"/>
        <w:tblW w:w="10235.0" w:type="dxa"/>
        <w:jc w:val="left"/>
        <w:tblInd w:w="108.0" w:type="dxa"/>
        <w:tblBorders>
          <w:top w:color="8a8175" w:space="0" w:sz="4" w:val="single"/>
          <w:left w:color="8a8175" w:space="0" w:sz="4" w:val="single"/>
          <w:bottom w:color="8a8175" w:space="0" w:sz="4" w:val="single"/>
          <w:right w:color="8a8175" w:space="0" w:sz="4" w:val="single"/>
          <w:insideH w:color="8a8175" w:space="0" w:sz="4" w:val="single"/>
          <w:insideV w:color="8a8175" w:space="0" w:sz="4" w:val="single"/>
        </w:tblBorders>
        <w:tblLayout w:type="fixed"/>
        <w:tblLook w:val="0000"/>
      </w:tblPr>
      <w:tblGrid>
        <w:gridCol w:w="7825"/>
        <w:gridCol w:w="1276"/>
        <w:gridCol w:w="1134"/>
        <w:tblGridChange w:id="0">
          <w:tblGrid>
            <w:gridCol w:w="7825"/>
            <w:gridCol w:w="1276"/>
            <w:gridCol w:w="1134"/>
          </w:tblGrid>
        </w:tblGridChange>
      </w:tblGrid>
      <w:tr>
        <w:trPr>
          <w:trHeight w:val="340" w:hRule="atLeast"/>
        </w:trPr>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104">
            <w:pPr>
              <w:tabs>
                <w:tab w:val="left" w:pos="1170"/>
              </w:tabs>
              <w:rPr>
                <w:rFonts w:ascii="Calibri" w:cs="Calibri" w:eastAsia="Calibri" w:hAnsi="Calibri"/>
                <w:sz w:val="20"/>
                <w:szCs w:val="20"/>
              </w:rPr>
            </w:pPr>
            <w:r w:rsidDel="00000000" w:rsidR="00000000" w:rsidRPr="00000000">
              <w:rPr>
                <w:rFonts w:ascii="Calibri" w:cs="Calibri" w:eastAsia="Calibri" w:hAnsi="Calibri"/>
                <w:b w:val="1"/>
                <w:color w:val="ffffff"/>
                <w:sz w:val="20"/>
                <w:szCs w:val="20"/>
                <w:rtl w:val="0"/>
              </w:rPr>
              <w:t xml:space="preserve">Languages</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105">
            <w:pPr>
              <w:jc w:val="cente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Required</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106">
            <w:pPr>
              <w:jc w:val="cente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Preferred</w:t>
            </w:r>
          </w:p>
        </w:tc>
      </w:tr>
      <w:tr>
        <w:trPr>
          <w:trHeight w:val="340" w:hRule="atLeast"/>
        </w:trPr>
        <w:tc>
          <w:tcPr>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107">
            <w:pPr>
              <w:tabs>
                <w:tab w:val="left" w:pos="117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Fluently spoken and written French </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108">
            <w:pPr>
              <w:jc w:val="center"/>
              <w:rPr/>
            </w:pPr>
            <w:r w:rsidDel="00000000" w:rsidR="00000000" w:rsidRPr="00000000">
              <w:rPr>
                <w:rtl w:val="0"/>
              </w:rPr>
            </w:r>
          </w:p>
          <w:p w:rsidR="00000000" w:rsidDel="00000000" w:rsidP="00000000" w:rsidRDefault="00000000" w:rsidRPr="00000000" w14:paraId="00000109">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10A">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10B">
            <w:pPr>
              <w:tabs>
                <w:tab w:val="left" w:pos="117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Good command of English</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10C">
            <w:pPr>
              <w:jc w:val="center"/>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10D">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r>
      <w:tr>
        <w:trPr>
          <w:trHeight w:val="300" w:hRule="atLeast"/>
        </w:trPr>
        <w:tc>
          <w:tcPr>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10E">
            <w:pPr>
              <w:tabs>
                <w:tab w:val="left" w:pos="117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Other languages: Lingala </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10F">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110">
            <w:pPr>
              <w:jc w:val="center"/>
              <w:rPr>
                <w:rFonts w:ascii="Calibri" w:cs="Calibri" w:eastAsia="Calibri" w:hAnsi="Calibri"/>
                <w:sz w:val="20"/>
                <w:szCs w:val="20"/>
              </w:rPr>
            </w:pPr>
            <w:r w:rsidDel="00000000" w:rsidR="00000000" w:rsidRPr="00000000">
              <w:rPr>
                <w:rtl w:val="0"/>
              </w:rPr>
            </w:r>
          </w:p>
        </w:tc>
      </w:tr>
    </w:tbl>
    <w:p w:rsidR="00000000" w:rsidDel="00000000" w:rsidP="00000000" w:rsidRDefault="00000000" w:rsidRPr="00000000" w14:paraId="00000111">
      <w:pPr>
        <w:tabs>
          <w:tab w:val="left" w:pos="-720"/>
        </w:tabs>
        <w:rPr>
          <w:rFonts w:ascii="Calibri" w:cs="Calibri" w:eastAsia="Calibri" w:hAnsi="Calibri"/>
          <w:sz w:val="20"/>
          <w:szCs w:val="20"/>
        </w:rPr>
      </w:pPr>
      <w:r w:rsidDel="00000000" w:rsidR="00000000" w:rsidRPr="00000000">
        <w:rPr>
          <w:rtl w:val="0"/>
        </w:rPr>
      </w:r>
    </w:p>
    <w:sectPr>
      <w:headerReference r:id="rId7" w:type="first"/>
      <w:footerReference r:id="rId8" w:type="default"/>
      <w:footerReference r:id="rId9" w:type="first"/>
      <w:footerReference r:id="rId10" w:type="even"/>
      <w:pgSz w:h="16838" w:w="11906" w:orient="portrait"/>
      <w:pgMar w:bottom="284" w:top="851" w:left="851" w:right="765" w:header="567"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Calibri"/>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Noto Sans Symbols"/>
  <w:font w:name="L Frutiger Light"/>
  <w:font w:name="Open Sans Light">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3">
    <w:pPr>
      <w:pBdr>
        <w:top w:space="0" w:sz="0" w:val="nil"/>
        <w:left w:space="0" w:sz="0" w:val="nil"/>
        <w:bottom w:space="0" w:sz="0" w:val="nil"/>
        <w:right w:space="0" w:sz="0" w:val="nil"/>
        <w:between w:space="0" w:sz="0" w:val="nil"/>
      </w:pBdr>
      <w:tabs>
        <w:tab w:val="right" w:pos="10206"/>
      </w:tabs>
      <w:rPr>
        <w:rFonts w:ascii="Arimo" w:cs="Arimo" w:eastAsia="Arimo" w:hAnsi="Arimo"/>
        <w:color w:val="000000"/>
        <w:sz w:val="16"/>
        <w:szCs w:val="16"/>
      </w:rPr>
    </w:pPr>
    <w:r w:rsidDel="00000000" w:rsidR="00000000" w:rsidRPr="00000000">
      <w:rPr>
        <w:rFonts w:ascii="Arimo" w:cs="Arimo" w:eastAsia="Arimo" w:hAnsi="Arimo"/>
        <w:color w:val="000000"/>
        <w:sz w:val="16"/>
        <w:szCs w:val="16"/>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14">
    <w:pPr>
      <w:pBdr>
        <w:top w:space="0" w:sz="0" w:val="nil"/>
        <w:left w:space="0" w:sz="0" w:val="nil"/>
        <w:bottom w:space="0" w:sz="0" w:val="nil"/>
        <w:right w:space="0" w:sz="0" w:val="nil"/>
        <w:between w:space="0" w:sz="0" w:val="nil"/>
      </w:pBdr>
      <w:tabs>
        <w:tab w:val="right" w:pos="10206"/>
      </w:tabs>
      <w:rPr>
        <w:rFonts w:ascii="Tahoma" w:cs="Tahoma" w:eastAsia="Tahoma" w:hAnsi="Tahoma"/>
        <w:color w:val="000000"/>
        <w:sz w:val="16"/>
        <w:szCs w:val="16"/>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5">
    <w:pPr>
      <w:pBdr>
        <w:top w:color="8a8175" w:space="1" w:sz="4" w:val="single"/>
      </w:pBdr>
      <w:tabs>
        <w:tab w:val="right" w:pos="10291"/>
      </w:tabs>
      <w:rPr>
        <w:sz w:val="16"/>
        <w:szCs w:val="16"/>
      </w:rPr>
    </w:pPr>
    <w:r w:rsidDel="00000000" w:rsidR="00000000" w:rsidRPr="00000000">
      <w:rPr>
        <w:sz w:val="16"/>
        <w:szCs w:val="16"/>
        <w:rtl w:val="0"/>
      </w:rPr>
      <w:t xml:space="preserve">Surge Response Role Profile</w:t>
      <w:tab/>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6">
    <w:pPr>
      <w:pBdr>
        <w:top w:color="8a8175" w:space="1" w:sz="4" w:val="single"/>
      </w:pBdr>
      <w:tabs>
        <w:tab w:val="right" w:pos="10291"/>
      </w:tabs>
      <w:rPr>
        <w:sz w:val="16"/>
        <w:szCs w:val="16"/>
      </w:rPr>
    </w:pPr>
    <w:r w:rsidDel="00000000" w:rsidR="00000000" w:rsidRPr="00000000">
      <w:rPr>
        <w:sz w:val="16"/>
        <w:szCs w:val="16"/>
        <w:rtl w:val="0"/>
      </w:rPr>
      <w:t xml:space="preserve">Surge Response Role Profile: Community Engagement and Accountability</w:t>
      <w:tab/>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2">
    <w:pPr>
      <w:pBdr>
        <w:top w:space="0" w:sz="0" w:val="nil"/>
        <w:left w:space="0" w:sz="0" w:val="nil"/>
        <w:bottom w:space="0" w:sz="0" w:val="nil"/>
        <w:right w:space="0" w:sz="0" w:val="nil"/>
        <w:between w:space="0" w:sz="0" w:val="nil"/>
      </w:pBdr>
      <w:spacing w:line="980" w:lineRule="auto"/>
      <w:rPr>
        <w:rFonts w:ascii="L Frutiger Light" w:cs="L Frutiger Light" w:eastAsia="L Frutiger Light" w:hAnsi="L Frutiger Light"/>
        <w:color w:val="000000"/>
        <w:sz w:val="40"/>
        <w:szCs w:val="40"/>
      </w:rPr>
    </w:pPr>
    <w:r w:rsidDel="00000000" w:rsidR="00000000" w:rsidRPr="00000000">
      <w:rPr/>
      <w:drawing>
        <wp:inline distB="0" distT="0" distL="0" distR="0">
          <wp:extent cx="1790700" cy="723900"/>
          <wp:effectExtent b="0" l="0" r="0" t="0"/>
          <wp:docPr id="2" name="image1.png"/>
          <a:graphic>
            <a:graphicData uri="http://schemas.openxmlformats.org/drawingml/2006/picture">
              <pic:pic>
                <pic:nvPicPr>
                  <pic:cNvPr id="0" name="image1.png"/>
                  <pic:cNvPicPr preferRelativeResize="0"/>
                </pic:nvPicPr>
                <pic:blipFill>
                  <a:blip r:embed="rId1"/>
                  <a:srcRect b="21862" l="11765" r="0" t="0"/>
                  <a:stretch>
                    <a:fillRect/>
                  </a:stretch>
                </pic:blipFill>
                <pic:spPr>
                  <a:xfrm>
                    <a:off x="0" y="0"/>
                    <a:ext cx="1790700" cy="723900"/>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4"/>
        <w:szCs w:val="24"/>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pPr>
    <w:rPr>
      <w:rFonts w:ascii="Open Sans" w:cs="Open Sans" w:eastAsia="Open Sans" w:hAnsi="Open Sans"/>
      <w:b w:val="1"/>
      <w:sz w:val="20"/>
      <w:szCs w:val="20"/>
    </w:rPr>
  </w:style>
  <w:style w:type="paragraph" w:styleId="Heading2">
    <w:name w:val="heading 2"/>
    <w:basedOn w:val="Normal"/>
    <w:next w:val="Normal"/>
    <w:pPr>
      <w:keepNext w:val="1"/>
    </w:pPr>
    <w:rPr>
      <w:sz w:val="20"/>
      <w:szCs w:val="20"/>
    </w:rPr>
  </w:style>
  <w:style w:type="paragraph" w:styleId="Heading3">
    <w:name w:val="heading 3"/>
    <w:basedOn w:val="Normal"/>
    <w:next w:val="Normal"/>
    <w:pPr>
      <w:keepNext w:val="1"/>
    </w:pPr>
    <w:rPr>
      <w:rFonts w:ascii="Open Sans" w:cs="Open Sans" w:eastAsia="Open Sans" w:hAnsi="Open Sans"/>
      <w:b w:val="1"/>
    </w:rPr>
  </w:style>
  <w:style w:type="paragraph" w:styleId="Heading4">
    <w:name w:val="heading 4"/>
    <w:basedOn w:val="Normal"/>
    <w:next w:val="Normal"/>
    <w:pPr>
      <w:keepNext w:val="1"/>
    </w:pPr>
    <w:rPr>
      <w:rFonts w:ascii="Open Sans Light" w:cs="Open Sans Light" w:eastAsia="Open Sans Light" w:hAnsi="Open Sans Light"/>
    </w:rPr>
  </w:style>
  <w:style w:type="paragraph" w:styleId="Heading5">
    <w:name w:val="heading 5"/>
    <w:basedOn w:val="Normal"/>
    <w:next w:val="Normal"/>
    <w:pPr>
      <w:spacing w:after="60" w:before="240" w:lineRule="auto"/>
    </w:pPr>
    <w:rPr>
      <w:b w:val="1"/>
      <w:i w:val="1"/>
      <w:sz w:val="26"/>
      <w:szCs w:val="26"/>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jc w:val="center"/>
    </w:pPr>
    <w:rPr>
      <w:b w:val="1"/>
      <w:sz w:val="28"/>
      <w:szCs w:val="2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0"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header" Target="header1.xml"/><Relationship Id="rId8" Type="http://schemas.openxmlformats.org/officeDocument/2006/relationships/footer" Target="footer3.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OpenSansLight-boldItalic.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9" Type="http://schemas.openxmlformats.org/officeDocument/2006/relationships/font" Target="fonts/OpenSansLight-italic.ttf"/><Relationship Id="rId14" Type="http://schemas.openxmlformats.org/officeDocument/2006/relationships/font" Target="fonts/OpenSans-boldItalic.ttf"/><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OpenSansLight-regular.ttf"/><Relationship Id="rId8" Type="http://schemas.openxmlformats.org/officeDocument/2006/relationships/font" Target="fonts/OpenSansLight-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