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ETAT DE LIEU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Epi situation as of oct 21st: </w:t>
      </w:r>
      <w:r w:rsidDel="00000000" w:rsidR="00000000" w:rsidRPr="00000000">
        <w:rPr>
          <w:color w:val="980000"/>
          <w:rtl w:val="0"/>
        </w:rPr>
        <w:t xml:space="preserve">5 confirmed cases, after Day 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Ind w:w="-1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0"/>
        <w:gridCol w:w="2445"/>
        <w:gridCol w:w="3735"/>
        <w:tblGridChange w:id="0">
          <w:tblGrid>
            <w:gridCol w:w="5190"/>
            <w:gridCol w:w="2445"/>
            <w:gridCol w:w="37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is going 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Regional coordination for support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Global coordination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 response: DRC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Regional strategy under development under WHO lead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Regional meeting held with all partners of the regional health platform on oct 20 st 2021.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Pillars has been activated.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National strategy under design.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EOC to be based in Beni. Detail on structure to be confirmed with filed colleagues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color w:val="274e13"/>
                <w:sz w:val="30"/>
                <w:szCs w:val="30"/>
                <w:rtl w:val="0"/>
              </w:rPr>
              <w:t xml:space="preserve">RCCE priority interventions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Inter agency RCCE plan will be discussed in the next regional working group meeting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Daily update with DRC team (Unicef, ….)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Sharing of documents, tools and strategic information with DRC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Support with RH: funding of a national consultant to support field activities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Deployment: RAS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highlight w:val="black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